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8A985" w14:textId="6303A130" w:rsidR="00205B8D" w:rsidRPr="00AB6AC5" w:rsidRDefault="00205B8D" w:rsidP="00D609E6">
      <w:pPr>
        <w:spacing w:line="240" w:lineRule="auto"/>
        <w:jc w:val="center"/>
        <w:rPr>
          <w:rFonts w:ascii="Times New Roman" w:hAnsi="Times New Roman" w:cs="Times New Roman"/>
          <w:b/>
          <w:sz w:val="24"/>
          <w:szCs w:val="24"/>
        </w:rPr>
      </w:pPr>
      <w:r w:rsidRPr="00AB6AC5">
        <w:rPr>
          <w:rFonts w:ascii="Times New Roman" w:hAnsi="Times New Roman" w:cs="Times New Roman"/>
          <w:b/>
          <w:sz w:val="24"/>
          <w:szCs w:val="24"/>
        </w:rPr>
        <w:t>STOCKHOLDER</w:t>
      </w:r>
      <w:r w:rsidR="00AB6AC5">
        <w:rPr>
          <w:rFonts w:ascii="Times New Roman" w:hAnsi="Times New Roman" w:cs="Times New Roman"/>
          <w:b/>
          <w:sz w:val="24"/>
          <w:szCs w:val="24"/>
        </w:rPr>
        <w:t>S’</w:t>
      </w:r>
      <w:r w:rsidRPr="00AB6AC5">
        <w:rPr>
          <w:rFonts w:ascii="Times New Roman" w:hAnsi="Times New Roman" w:cs="Times New Roman"/>
          <w:b/>
          <w:sz w:val="24"/>
          <w:szCs w:val="24"/>
        </w:rPr>
        <w:t xml:space="preserve"> AGREEMENT</w:t>
      </w:r>
    </w:p>
    <w:p w14:paraId="0A8C0A18" w14:textId="6A651A35" w:rsidR="00AB6AC5" w:rsidRPr="00CF6B04" w:rsidRDefault="00205B8D" w:rsidP="00D609E6">
      <w:pPr>
        <w:spacing w:after="240" w:line="240" w:lineRule="auto"/>
        <w:ind w:firstLine="720"/>
        <w:jc w:val="both"/>
        <w:rPr>
          <w:rFonts w:ascii="Times New Roman" w:hAnsi="Times New Roman" w:cs="Times New Roman"/>
          <w:b/>
          <w:bCs/>
          <w:sz w:val="24"/>
          <w:szCs w:val="24"/>
        </w:rPr>
      </w:pPr>
      <w:r w:rsidRPr="00CF6B04">
        <w:rPr>
          <w:rFonts w:ascii="Times New Roman" w:hAnsi="Times New Roman" w:cs="Times New Roman"/>
          <w:b/>
          <w:sz w:val="24"/>
          <w:szCs w:val="24"/>
        </w:rPr>
        <w:tab/>
      </w:r>
      <w:r w:rsidR="00AB6AC5" w:rsidRPr="00CF6B04">
        <w:rPr>
          <w:rFonts w:ascii="Times New Roman" w:hAnsi="Times New Roman" w:cs="Times New Roman"/>
          <w:sz w:val="24"/>
          <w:szCs w:val="24"/>
        </w:rPr>
        <w:t>This STOCKHOLDERS’ AGREEMENT (this “</w:t>
      </w:r>
      <w:r w:rsidR="00AB6AC5" w:rsidRPr="00D609E6">
        <w:rPr>
          <w:rFonts w:ascii="Times New Roman" w:eastAsia="Times New Roman" w:hAnsi="Times New Roman" w:cs="Times New Roman"/>
          <w:b/>
          <w:bCs/>
          <w:i/>
          <w:iCs/>
          <w:sz w:val="24"/>
          <w:szCs w:val="24"/>
        </w:rPr>
        <w:t>Agreement</w:t>
      </w:r>
      <w:r w:rsidR="00AB6AC5" w:rsidRPr="00CF6B04">
        <w:rPr>
          <w:rFonts w:ascii="Times New Roman" w:hAnsi="Times New Roman" w:cs="Times New Roman"/>
          <w:sz w:val="24"/>
          <w:szCs w:val="24"/>
        </w:rPr>
        <w:t>”) is made and entered into as of this</w:t>
      </w:r>
      <w:r w:rsidR="00D77A29" w:rsidRPr="00CF6B04">
        <w:rPr>
          <w:rFonts w:ascii="Times New Roman" w:hAnsi="Times New Roman" w:cs="Times New Roman"/>
          <w:sz w:val="24"/>
          <w:szCs w:val="24"/>
        </w:rPr>
        <w:t xml:space="preserve"> </w:t>
      </w:r>
      <w:r w:rsidR="003120BF" w:rsidRPr="003120BF">
        <w:rPr>
          <w:rFonts w:ascii="Times New Roman" w:hAnsi="Times New Roman" w:cs="Times New Roman"/>
          <w:sz w:val="24"/>
          <w:szCs w:val="24"/>
          <w:highlight w:val="yellow"/>
        </w:rPr>
        <w:t>DATE</w:t>
      </w:r>
      <w:r w:rsidR="00367F8D" w:rsidRPr="00CF6B04">
        <w:rPr>
          <w:rFonts w:ascii="Times New Roman" w:hAnsi="Times New Roman" w:cs="Times New Roman"/>
          <w:sz w:val="24"/>
          <w:szCs w:val="24"/>
        </w:rPr>
        <w:t xml:space="preserve"> </w:t>
      </w:r>
      <w:r w:rsidR="00AB6AC5" w:rsidRPr="00CF6B04">
        <w:rPr>
          <w:rFonts w:ascii="Times New Roman" w:hAnsi="Times New Roman" w:cs="Times New Roman"/>
          <w:sz w:val="24"/>
          <w:szCs w:val="24"/>
        </w:rPr>
        <w:t>(the “</w:t>
      </w:r>
      <w:r w:rsidR="00AB6AC5" w:rsidRPr="00D609E6">
        <w:rPr>
          <w:rFonts w:ascii="Times New Roman" w:eastAsia="Times New Roman" w:hAnsi="Times New Roman" w:cs="Times New Roman"/>
          <w:b/>
          <w:bCs/>
          <w:i/>
          <w:iCs/>
          <w:sz w:val="24"/>
          <w:szCs w:val="24"/>
        </w:rPr>
        <w:t>Effective Date</w:t>
      </w:r>
      <w:r w:rsidR="00AB6AC5" w:rsidRPr="00CF6B04">
        <w:rPr>
          <w:rFonts w:ascii="Times New Roman" w:hAnsi="Times New Roman" w:cs="Times New Roman"/>
          <w:sz w:val="24"/>
          <w:szCs w:val="24"/>
        </w:rPr>
        <w:t xml:space="preserve">”), by and between </w:t>
      </w:r>
      <w:r w:rsidR="001A7571" w:rsidRPr="001A7571">
        <w:rPr>
          <w:rFonts w:ascii="Times New Roman" w:hAnsi="Times New Roman" w:cs="Times New Roman"/>
          <w:sz w:val="24"/>
          <w:szCs w:val="24"/>
          <w:highlight w:val="yellow"/>
        </w:rPr>
        <w:t>COMPANY</w:t>
      </w:r>
      <w:r w:rsidR="00AB6AC5" w:rsidRPr="00CF6B04">
        <w:rPr>
          <w:rFonts w:ascii="Times New Roman" w:hAnsi="Times New Roman" w:cs="Times New Roman"/>
          <w:sz w:val="24"/>
          <w:szCs w:val="24"/>
        </w:rPr>
        <w:t>, a Delaware corporation (the “</w:t>
      </w:r>
      <w:r w:rsidR="00AB6AC5" w:rsidRPr="00D609E6">
        <w:rPr>
          <w:rFonts w:ascii="Times New Roman" w:eastAsia="Times New Roman" w:hAnsi="Times New Roman" w:cs="Times New Roman"/>
          <w:b/>
          <w:bCs/>
          <w:i/>
          <w:iCs/>
          <w:sz w:val="24"/>
          <w:szCs w:val="24"/>
        </w:rPr>
        <w:t>Company</w:t>
      </w:r>
      <w:r w:rsidR="00AB6AC5" w:rsidRPr="00CF6B04">
        <w:rPr>
          <w:rFonts w:ascii="Times New Roman" w:hAnsi="Times New Roman" w:cs="Times New Roman"/>
          <w:sz w:val="24"/>
          <w:szCs w:val="24"/>
        </w:rPr>
        <w:t xml:space="preserve">”), </w:t>
      </w:r>
      <w:r w:rsidR="002621C2">
        <w:rPr>
          <w:rFonts w:ascii="Times New Roman" w:hAnsi="Times New Roman" w:cs="Times New Roman"/>
          <w:sz w:val="24"/>
          <w:szCs w:val="24"/>
        </w:rPr>
        <w:t xml:space="preserve">and the stockholders set out in </w:t>
      </w:r>
      <w:r w:rsidR="002621C2" w:rsidRPr="00D609E6">
        <w:rPr>
          <w:rFonts w:ascii="Times New Roman" w:hAnsi="Times New Roman" w:cs="Times New Roman"/>
          <w:sz w:val="24"/>
          <w:szCs w:val="24"/>
          <w:u w:val="single"/>
        </w:rPr>
        <w:t>Exhibit A</w:t>
      </w:r>
      <w:r w:rsidR="00CF6B04">
        <w:rPr>
          <w:rFonts w:ascii="Times New Roman" w:hAnsi="Times New Roman" w:cs="Times New Roman"/>
          <w:sz w:val="24"/>
          <w:szCs w:val="24"/>
        </w:rPr>
        <w:t xml:space="preserve"> </w:t>
      </w:r>
      <w:r w:rsidR="00AB6AC5" w:rsidRPr="00CF6B04">
        <w:rPr>
          <w:rFonts w:ascii="Times New Roman" w:hAnsi="Times New Roman" w:cs="Times New Roman"/>
          <w:sz w:val="24"/>
          <w:szCs w:val="24"/>
        </w:rPr>
        <w:t>(each a “</w:t>
      </w:r>
      <w:r w:rsidR="00AB6AC5" w:rsidRPr="00D609E6">
        <w:rPr>
          <w:rFonts w:ascii="Times New Roman" w:eastAsia="Times New Roman" w:hAnsi="Times New Roman" w:cs="Times New Roman"/>
          <w:b/>
          <w:bCs/>
          <w:i/>
          <w:iCs/>
          <w:sz w:val="24"/>
          <w:szCs w:val="24"/>
        </w:rPr>
        <w:t>Stockholder</w:t>
      </w:r>
      <w:r w:rsidR="00AB6AC5" w:rsidRPr="00CF6B04">
        <w:rPr>
          <w:rFonts w:ascii="Times New Roman" w:hAnsi="Times New Roman" w:cs="Times New Roman"/>
          <w:sz w:val="24"/>
          <w:szCs w:val="24"/>
        </w:rPr>
        <w:t>” and collectively, the “</w:t>
      </w:r>
      <w:r w:rsidR="00AB6AC5" w:rsidRPr="00D609E6">
        <w:rPr>
          <w:rFonts w:ascii="Times New Roman" w:eastAsia="Times New Roman" w:hAnsi="Times New Roman" w:cs="Times New Roman"/>
          <w:b/>
          <w:bCs/>
          <w:i/>
          <w:iCs/>
          <w:sz w:val="24"/>
          <w:szCs w:val="24"/>
        </w:rPr>
        <w:t>Stockholders</w:t>
      </w:r>
      <w:r w:rsidR="00AB6AC5" w:rsidRPr="00CF6B04">
        <w:rPr>
          <w:rFonts w:ascii="Times New Roman" w:hAnsi="Times New Roman" w:cs="Times New Roman"/>
          <w:sz w:val="24"/>
          <w:szCs w:val="24"/>
        </w:rPr>
        <w:t>”).</w:t>
      </w:r>
    </w:p>
    <w:p w14:paraId="396BE5BA" w14:textId="77777777" w:rsidR="00205B8D" w:rsidRPr="00AB6AC5" w:rsidRDefault="00205B8D" w:rsidP="00D609E6">
      <w:pPr>
        <w:spacing w:line="240" w:lineRule="auto"/>
        <w:jc w:val="center"/>
        <w:rPr>
          <w:rFonts w:ascii="Times New Roman" w:hAnsi="Times New Roman" w:cs="Times New Roman"/>
          <w:b/>
          <w:sz w:val="24"/>
          <w:szCs w:val="24"/>
          <w:u w:val="single"/>
        </w:rPr>
      </w:pPr>
      <w:r w:rsidRPr="00AB6AC5">
        <w:rPr>
          <w:rFonts w:ascii="Times New Roman" w:hAnsi="Times New Roman" w:cs="Times New Roman"/>
          <w:b/>
          <w:sz w:val="24"/>
          <w:szCs w:val="24"/>
          <w:u w:val="single"/>
        </w:rPr>
        <w:t>RECITALS</w:t>
      </w:r>
    </w:p>
    <w:p w14:paraId="7B58F472" w14:textId="75AECF9D" w:rsidR="00205B8D" w:rsidRPr="00AB6AC5" w:rsidRDefault="00205B8D" w:rsidP="00D609E6">
      <w:pPr>
        <w:pStyle w:val="BodyText"/>
        <w:rPr>
          <w:b/>
          <w:szCs w:val="24"/>
        </w:rPr>
      </w:pPr>
      <w:r w:rsidRPr="00AB6AC5">
        <w:rPr>
          <w:szCs w:val="24"/>
        </w:rPr>
        <w:t>A.</w:t>
      </w:r>
      <w:r w:rsidRPr="00AB6AC5">
        <w:rPr>
          <w:szCs w:val="24"/>
        </w:rPr>
        <w:tab/>
      </w:r>
      <w:r w:rsidR="00AB6AC5">
        <w:t>As of the date hereof, the Stockholders hold all of the issued and outstanding shares of the Company’s Common Stock</w:t>
      </w:r>
      <w:r w:rsidR="002B4126">
        <w:t>, par value $</w:t>
      </w:r>
      <w:r w:rsidR="001F594B">
        <w:t>0.</w:t>
      </w:r>
      <w:r w:rsidR="001F594B" w:rsidRPr="001F594B">
        <w:rPr>
          <w:highlight w:val="yellow"/>
        </w:rPr>
        <w:t>00001</w:t>
      </w:r>
      <w:r w:rsidR="001F594B">
        <w:t xml:space="preserve"> </w:t>
      </w:r>
      <w:r w:rsidR="002B4126">
        <w:t>per share (“</w:t>
      </w:r>
      <w:r w:rsidR="002B4126" w:rsidRPr="002B4126">
        <w:rPr>
          <w:b/>
          <w:bCs/>
          <w:i/>
          <w:iCs/>
        </w:rPr>
        <w:t>Common Stock</w:t>
      </w:r>
      <w:r w:rsidR="002B4126">
        <w:t>”)</w:t>
      </w:r>
      <w:r w:rsidRPr="00AB6AC5">
        <w:rPr>
          <w:szCs w:val="24"/>
        </w:rPr>
        <w:t>.</w:t>
      </w:r>
    </w:p>
    <w:p w14:paraId="1EA6BE7D" w14:textId="77777777" w:rsidR="00205B8D" w:rsidRPr="00AB6AC5" w:rsidRDefault="00205B8D" w:rsidP="00D609E6">
      <w:pPr>
        <w:pStyle w:val="BodyText"/>
        <w:rPr>
          <w:bCs/>
          <w:szCs w:val="24"/>
        </w:rPr>
      </w:pPr>
      <w:r w:rsidRPr="00AB6AC5">
        <w:rPr>
          <w:szCs w:val="24"/>
        </w:rPr>
        <w:t>B.</w:t>
      </w:r>
      <w:r w:rsidRPr="00AB6AC5">
        <w:rPr>
          <w:szCs w:val="24"/>
        </w:rPr>
        <w:tab/>
      </w:r>
      <w:r w:rsidR="00EE4A4D" w:rsidRPr="00AB6AC5">
        <w:rPr>
          <w:szCs w:val="24"/>
        </w:rPr>
        <w:t xml:space="preserve">The parties wish to set forth herein certain rights and mutual agreements with respect to their </w:t>
      </w:r>
      <w:r w:rsidR="00AB6AC5">
        <w:t>shares of the Company’s Common Stock</w:t>
      </w:r>
      <w:r w:rsidRPr="00AB6AC5">
        <w:rPr>
          <w:szCs w:val="24"/>
        </w:rPr>
        <w:t>.</w:t>
      </w:r>
    </w:p>
    <w:p w14:paraId="7DE68BA9" w14:textId="77777777" w:rsidR="00205B8D" w:rsidRPr="00AB6AC5" w:rsidRDefault="00205B8D" w:rsidP="00D609E6">
      <w:pPr>
        <w:pStyle w:val="BodyText"/>
        <w:ind w:firstLine="0"/>
        <w:jc w:val="center"/>
        <w:rPr>
          <w:b/>
          <w:szCs w:val="24"/>
          <w:u w:val="single"/>
        </w:rPr>
      </w:pPr>
      <w:r w:rsidRPr="00AB6AC5">
        <w:rPr>
          <w:b/>
          <w:szCs w:val="24"/>
          <w:u w:val="single"/>
        </w:rPr>
        <w:t>AGREEMENT</w:t>
      </w:r>
    </w:p>
    <w:p w14:paraId="1088D2D3" w14:textId="77777777" w:rsidR="00205B8D" w:rsidRPr="00AB6AC5" w:rsidRDefault="00205B8D" w:rsidP="00D609E6">
      <w:pPr>
        <w:pStyle w:val="BodyText"/>
        <w:rPr>
          <w:szCs w:val="24"/>
        </w:rPr>
      </w:pPr>
      <w:r w:rsidRPr="00AB6AC5">
        <w:rPr>
          <w:szCs w:val="24"/>
        </w:rPr>
        <w:t>NOW, THEREFORE, in consideration of the foregoing recitals and the mutual promises hereinafter set forth, the parties hereto agree as follows:</w:t>
      </w:r>
    </w:p>
    <w:p w14:paraId="6C0CA903" w14:textId="77777777" w:rsidR="00EE4A4D" w:rsidRPr="00AB6AC5" w:rsidRDefault="00EE4A4D" w:rsidP="00D609E6">
      <w:pPr>
        <w:pStyle w:val="Legal2IndeL1"/>
        <w:keepNext/>
        <w:numPr>
          <w:ilvl w:val="0"/>
          <w:numId w:val="19"/>
        </w:numPr>
        <w:rPr>
          <w:b/>
          <w:caps/>
          <w:szCs w:val="24"/>
          <w:u w:val="single"/>
        </w:rPr>
      </w:pPr>
      <w:bookmarkStart w:id="0" w:name="_Ref497038304"/>
      <w:r w:rsidRPr="00AB6AC5">
        <w:rPr>
          <w:b/>
          <w:caps/>
          <w:szCs w:val="24"/>
          <w:u w:val="single"/>
        </w:rPr>
        <w:t>Participation RIGHT</w:t>
      </w:r>
      <w:r w:rsidRPr="00AB6AC5">
        <w:rPr>
          <w:b/>
          <w:caps/>
          <w:szCs w:val="24"/>
        </w:rPr>
        <w:t>.</w:t>
      </w:r>
      <w:bookmarkEnd w:id="0"/>
    </w:p>
    <w:p w14:paraId="3CBCD96B" w14:textId="77777777" w:rsidR="00EE4A4D" w:rsidRPr="00AB6AC5" w:rsidRDefault="00EE4A4D" w:rsidP="00D609E6">
      <w:pPr>
        <w:pStyle w:val="Legal2IndeL2"/>
        <w:numPr>
          <w:ilvl w:val="1"/>
          <w:numId w:val="19"/>
        </w:numPr>
        <w:rPr>
          <w:szCs w:val="24"/>
        </w:rPr>
      </w:pPr>
      <w:bookmarkStart w:id="1" w:name="_Ref497042345"/>
      <w:r w:rsidRPr="00AB6AC5">
        <w:rPr>
          <w:b/>
          <w:szCs w:val="24"/>
          <w:u w:val="single"/>
        </w:rPr>
        <w:t>General</w:t>
      </w:r>
      <w:r w:rsidRPr="00AB6AC5">
        <w:rPr>
          <w:b/>
          <w:szCs w:val="24"/>
        </w:rPr>
        <w:t>.</w:t>
      </w:r>
      <w:r w:rsidRPr="00AB6AC5">
        <w:rPr>
          <w:szCs w:val="24"/>
        </w:rPr>
        <w:t xml:space="preserve">  Each Stockholder has the right of first refusal to purchase such Stockholder’s Pro Rata Share (as defined below) of all (or any part) of any New Securities (as defined in Section </w:t>
      </w:r>
      <w:r w:rsidR="001E3449" w:rsidRPr="00AB6AC5">
        <w:rPr>
          <w:szCs w:val="24"/>
        </w:rPr>
        <w:t>1</w:t>
      </w:r>
      <w:r w:rsidRPr="00AB6AC5">
        <w:rPr>
          <w:szCs w:val="24"/>
        </w:rPr>
        <w:t xml:space="preserve">.2 below) that the Company may from </w:t>
      </w:r>
      <w:proofErr w:type="gramStart"/>
      <w:r w:rsidRPr="00AB6AC5">
        <w:rPr>
          <w:szCs w:val="24"/>
        </w:rPr>
        <w:t>time to time</w:t>
      </w:r>
      <w:proofErr w:type="gramEnd"/>
      <w:r w:rsidRPr="00AB6AC5">
        <w:rPr>
          <w:szCs w:val="24"/>
        </w:rPr>
        <w:t xml:space="preserve"> issue after the date of this Agreement.</w:t>
      </w:r>
      <w:bookmarkEnd w:id="1"/>
      <w:r w:rsidRPr="00AB6AC5">
        <w:rPr>
          <w:szCs w:val="24"/>
        </w:rPr>
        <w:t xml:space="preserve"> A Stockholder’s “</w:t>
      </w:r>
      <w:r w:rsidRPr="00D609E6">
        <w:rPr>
          <w:b/>
          <w:bCs/>
          <w:i/>
          <w:iCs/>
          <w:szCs w:val="24"/>
        </w:rPr>
        <w:t>Pro Rata Share</w:t>
      </w:r>
      <w:r w:rsidRPr="00AB6AC5">
        <w:rPr>
          <w:szCs w:val="24"/>
        </w:rPr>
        <w:t xml:space="preserve">” for purposes of this </w:t>
      </w:r>
      <w:r w:rsidR="001E3449" w:rsidRPr="00AB6AC5">
        <w:rPr>
          <w:szCs w:val="24"/>
        </w:rPr>
        <w:t xml:space="preserve">participation </w:t>
      </w:r>
      <w:r w:rsidRPr="00AB6AC5">
        <w:rPr>
          <w:szCs w:val="24"/>
        </w:rPr>
        <w:t xml:space="preserve">right is the ratio of (a) the number of Shares owned by such Stockholder, to (b) a number of shares of Common Stock of the Company equal to the total number of shares of Common Stock of the Company then outstanding </w:t>
      </w:r>
      <w:r w:rsidR="001E3449" w:rsidRPr="00AB6AC5">
        <w:rPr>
          <w:szCs w:val="24"/>
        </w:rPr>
        <w:t>on a fully-diluted basis</w:t>
      </w:r>
      <w:r w:rsidRPr="00AB6AC5">
        <w:rPr>
          <w:szCs w:val="24"/>
        </w:rPr>
        <w:t>.</w:t>
      </w:r>
    </w:p>
    <w:p w14:paraId="33EDA521" w14:textId="4230ECFE" w:rsidR="00EE4A4D" w:rsidRPr="00AB6AC5" w:rsidRDefault="00EE4A4D" w:rsidP="00D609E6">
      <w:pPr>
        <w:pStyle w:val="Legal2IndeL2"/>
        <w:numPr>
          <w:ilvl w:val="1"/>
          <w:numId w:val="19"/>
        </w:numPr>
        <w:rPr>
          <w:szCs w:val="24"/>
        </w:rPr>
      </w:pPr>
      <w:bookmarkStart w:id="2" w:name="_Ref497038161"/>
      <w:r w:rsidRPr="00AB6AC5">
        <w:rPr>
          <w:b/>
          <w:szCs w:val="24"/>
          <w:u w:val="single"/>
        </w:rPr>
        <w:t>New Securities</w:t>
      </w:r>
      <w:r w:rsidRPr="00AB6AC5">
        <w:rPr>
          <w:b/>
          <w:szCs w:val="24"/>
        </w:rPr>
        <w:t>.</w:t>
      </w:r>
      <w:r w:rsidRPr="00AB6AC5">
        <w:rPr>
          <w:szCs w:val="24"/>
        </w:rPr>
        <w:t xml:space="preserve">  “</w:t>
      </w:r>
      <w:r w:rsidRPr="00265917">
        <w:rPr>
          <w:b/>
          <w:bCs/>
          <w:i/>
          <w:iCs/>
          <w:szCs w:val="24"/>
        </w:rPr>
        <w:t>New Securities</w:t>
      </w:r>
      <w:r w:rsidRPr="00AB6AC5">
        <w:rPr>
          <w:szCs w:val="24"/>
        </w:rPr>
        <w:t xml:space="preserve">” shall mean any Common Stock or </w:t>
      </w:r>
      <w:r w:rsidR="002B4126">
        <w:rPr>
          <w:szCs w:val="24"/>
        </w:rPr>
        <w:t>preferred stock of any class or series (“</w:t>
      </w:r>
      <w:r w:rsidRPr="002B4126">
        <w:rPr>
          <w:b/>
          <w:bCs/>
          <w:i/>
          <w:iCs/>
          <w:szCs w:val="24"/>
        </w:rPr>
        <w:t>Preferred Stock</w:t>
      </w:r>
      <w:r w:rsidR="002B4126">
        <w:rPr>
          <w:szCs w:val="24"/>
        </w:rPr>
        <w:t>”)</w:t>
      </w:r>
      <w:r w:rsidRPr="00AB6AC5">
        <w:rPr>
          <w:szCs w:val="24"/>
        </w:rPr>
        <w:t xml:space="preserve"> of the Company, whether now authorized or not, and rights, options or warrants to purchase such Common Stock or Preferred Stock, and securities of any type whatsoever that are, or may become, convertible or exchangeable into such Common Stock or Preferred Stock; </w:t>
      </w:r>
      <w:r w:rsidRPr="00AB6AC5">
        <w:rPr>
          <w:szCs w:val="24"/>
          <w:u w:val="single"/>
        </w:rPr>
        <w:t>provided</w:t>
      </w:r>
      <w:r w:rsidRPr="00AB6AC5">
        <w:rPr>
          <w:szCs w:val="24"/>
        </w:rPr>
        <w:t xml:space="preserve">, </w:t>
      </w:r>
      <w:r w:rsidRPr="00AB6AC5">
        <w:rPr>
          <w:szCs w:val="24"/>
          <w:u w:val="single"/>
        </w:rPr>
        <w:t>however</w:t>
      </w:r>
      <w:r w:rsidRPr="00AB6AC5">
        <w:rPr>
          <w:szCs w:val="24"/>
        </w:rPr>
        <w:t xml:space="preserve">, that the term New Securities </w:t>
      </w:r>
      <w:r w:rsidRPr="00AB6AC5">
        <w:rPr>
          <w:szCs w:val="24"/>
          <w:u w:val="single"/>
        </w:rPr>
        <w:t>does</w:t>
      </w:r>
      <w:r w:rsidRPr="00AB6AC5">
        <w:rPr>
          <w:szCs w:val="24"/>
        </w:rPr>
        <w:t xml:space="preserve"> </w:t>
      </w:r>
      <w:r w:rsidRPr="00AB6AC5">
        <w:rPr>
          <w:szCs w:val="24"/>
          <w:u w:val="single"/>
        </w:rPr>
        <w:t>not</w:t>
      </w:r>
      <w:r w:rsidRPr="00AB6AC5">
        <w:rPr>
          <w:szCs w:val="24"/>
        </w:rPr>
        <w:t xml:space="preserve"> </w:t>
      </w:r>
      <w:r w:rsidRPr="00AB6AC5">
        <w:rPr>
          <w:szCs w:val="24"/>
          <w:u w:val="single"/>
        </w:rPr>
        <w:t>include</w:t>
      </w:r>
      <w:r w:rsidRPr="00AB6AC5">
        <w:rPr>
          <w:szCs w:val="24"/>
        </w:rPr>
        <w:t>:</w:t>
      </w:r>
      <w:bookmarkEnd w:id="2"/>
    </w:p>
    <w:p w14:paraId="3EE4B2DD" w14:textId="77777777" w:rsidR="00EE4A4D" w:rsidRPr="00AB6AC5" w:rsidRDefault="00EE4A4D" w:rsidP="00D609E6">
      <w:pPr>
        <w:numPr>
          <w:ilvl w:val="0"/>
          <w:numId w:val="20"/>
        </w:numPr>
        <w:tabs>
          <w:tab w:val="left" w:pos="2880"/>
        </w:tabs>
        <w:spacing w:after="240" w:line="240" w:lineRule="auto"/>
        <w:ind w:left="0" w:firstLine="2160"/>
        <w:jc w:val="both"/>
        <w:rPr>
          <w:rFonts w:ascii="Times New Roman" w:hAnsi="Times New Roman" w:cs="Times New Roman"/>
          <w:sz w:val="24"/>
          <w:szCs w:val="24"/>
        </w:rPr>
      </w:pPr>
      <w:r w:rsidRPr="00AB6AC5">
        <w:rPr>
          <w:rFonts w:ascii="Times New Roman" w:hAnsi="Times New Roman" w:cs="Times New Roman"/>
          <w:sz w:val="24"/>
          <w:szCs w:val="24"/>
        </w:rPr>
        <w:t xml:space="preserve">shares of Common Stock issuable upon exercise of any options, warrants or rights to purchase any securities of the Company outstanding as of the date of this Agreement and any securities issuable upon the conversion </w:t>
      </w:r>
      <w:proofErr w:type="gramStart"/>
      <w:r w:rsidRPr="00AB6AC5">
        <w:rPr>
          <w:rFonts w:ascii="Times New Roman" w:hAnsi="Times New Roman" w:cs="Times New Roman"/>
          <w:sz w:val="24"/>
          <w:szCs w:val="24"/>
        </w:rPr>
        <w:t>thereof;</w:t>
      </w:r>
      <w:proofErr w:type="gramEnd"/>
    </w:p>
    <w:p w14:paraId="66AE93E3" w14:textId="77777777" w:rsidR="00EE4A4D" w:rsidRPr="00AB6AC5" w:rsidRDefault="00EE4A4D" w:rsidP="00D609E6">
      <w:pPr>
        <w:numPr>
          <w:ilvl w:val="0"/>
          <w:numId w:val="20"/>
        </w:numPr>
        <w:tabs>
          <w:tab w:val="left" w:pos="2880"/>
        </w:tabs>
        <w:spacing w:after="240" w:line="240" w:lineRule="auto"/>
        <w:ind w:left="0" w:firstLine="2160"/>
        <w:jc w:val="both"/>
        <w:rPr>
          <w:rFonts w:ascii="Times New Roman" w:hAnsi="Times New Roman" w:cs="Times New Roman"/>
          <w:sz w:val="24"/>
          <w:szCs w:val="24"/>
        </w:rPr>
      </w:pPr>
      <w:r w:rsidRPr="00AB6AC5">
        <w:rPr>
          <w:rFonts w:ascii="Times New Roman" w:hAnsi="Times New Roman" w:cs="Times New Roman"/>
          <w:sz w:val="24"/>
          <w:szCs w:val="24"/>
        </w:rPr>
        <w:t xml:space="preserve">shares of Common Stock or Preferred Stock issued in connection with any stock split or stock dividend or </w:t>
      </w:r>
      <w:proofErr w:type="gramStart"/>
      <w:r w:rsidRPr="00AB6AC5">
        <w:rPr>
          <w:rFonts w:ascii="Times New Roman" w:hAnsi="Times New Roman" w:cs="Times New Roman"/>
          <w:sz w:val="24"/>
          <w:szCs w:val="24"/>
        </w:rPr>
        <w:t>recapitalization;</w:t>
      </w:r>
      <w:proofErr w:type="gramEnd"/>
      <w:r w:rsidRPr="00AB6AC5">
        <w:rPr>
          <w:rFonts w:ascii="Times New Roman" w:hAnsi="Times New Roman" w:cs="Times New Roman"/>
          <w:sz w:val="24"/>
          <w:szCs w:val="24"/>
        </w:rPr>
        <w:t xml:space="preserve"> </w:t>
      </w:r>
    </w:p>
    <w:p w14:paraId="526C4FDE" w14:textId="77777777" w:rsidR="00EE4A4D" w:rsidRPr="00AB6AC5" w:rsidRDefault="00EE4A4D" w:rsidP="00D609E6">
      <w:pPr>
        <w:numPr>
          <w:ilvl w:val="0"/>
          <w:numId w:val="20"/>
        </w:numPr>
        <w:tabs>
          <w:tab w:val="left" w:pos="2880"/>
        </w:tabs>
        <w:spacing w:after="240" w:line="240" w:lineRule="auto"/>
        <w:ind w:left="0" w:firstLine="2160"/>
        <w:jc w:val="both"/>
        <w:rPr>
          <w:rFonts w:ascii="Times New Roman" w:hAnsi="Times New Roman" w:cs="Times New Roman"/>
          <w:sz w:val="24"/>
          <w:szCs w:val="24"/>
        </w:rPr>
      </w:pPr>
      <w:r w:rsidRPr="00AB6AC5">
        <w:rPr>
          <w:rFonts w:ascii="Times New Roman" w:hAnsi="Times New Roman" w:cs="Times New Roman"/>
          <w:sz w:val="24"/>
          <w:szCs w:val="24"/>
        </w:rPr>
        <w:t xml:space="preserve">shares of Common Stock (or options, warrants or rights therefor) granted or issued hereafter to employees, officers, directors, contractors, consultants or advisers to, the Company or any subsidiary of the </w:t>
      </w:r>
      <w:proofErr w:type="gramStart"/>
      <w:r w:rsidRPr="00AB6AC5">
        <w:rPr>
          <w:rFonts w:ascii="Times New Roman" w:hAnsi="Times New Roman" w:cs="Times New Roman"/>
          <w:sz w:val="24"/>
          <w:szCs w:val="24"/>
        </w:rPr>
        <w:t>Company;</w:t>
      </w:r>
      <w:proofErr w:type="gramEnd"/>
    </w:p>
    <w:p w14:paraId="2040E0C6" w14:textId="6BA800FD" w:rsidR="00EE4A4D" w:rsidRPr="00AB6AC5" w:rsidRDefault="00EE4A4D" w:rsidP="00D609E6">
      <w:pPr>
        <w:numPr>
          <w:ilvl w:val="0"/>
          <w:numId w:val="20"/>
        </w:numPr>
        <w:tabs>
          <w:tab w:val="left" w:pos="2880"/>
        </w:tabs>
        <w:spacing w:after="240" w:line="240" w:lineRule="auto"/>
        <w:ind w:left="0" w:firstLine="2160"/>
        <w:jc w:val="both"/>
        <w:rPr>
          <w:rFonts w:ascii="Times New Roman" w:hAnsi="Times New Roman" w:cs="Times New Roman"/>
          <w:sz w:val="24"/>
          <w:szCs w:val="24"/>
        </w:rPr>
      </w:pPr>
      <w:r w:rsidRPr="00AB6AC5">
        <w:rPr>
          <w:rFonts w:ascii="Times New Roman" w:hAnsi="Times New Roman" w:cs="Times New Roman"/>
          <w:sz w:val="24"/>
          <w:szCs w:val="24"/>
        </w:rPr>
        <w:lastRenderedPageBreak/>
        <w:t>shares of Common Stock or Preferred Stock issued to financial institutions or lessors in connection with commercial credit arrangements, equipment financings, commercial property lease transactions or similar transactions;</w:t>
      </w:r>
      <w:r w:rsidR="00191508">
        <w:rPr>
          <w:rFonts w:ascii="Times New Roman" w:hAnsi="Times New Roman" w:cs="Times New Roman"/>
          <w:sz w:val="24"/>
          <w:szCs w:val="24"/>
        </w:rPr>
        <w:t xml:space="preserve"> or</w:t>
      </w:r>
    </w:p>
    <w:p w14:paraId="73FBDFB2" w14:textId="3F16CB21" w:rsidR="00EE4A4D" w:rsidRPr="00AB6AC5" w:rsidRDefault="00EE4A4D" w:rsidP="00D609E6">
      <w:pPr>
        <w:numPr>
          <w:ilvl w:val="0"/>
          <w:numId w:val="20"/>
        </w:numPr>
        <w:tabs>
          <w:tab w:val="left" w:pos="2880"/>
        </w:tabs>
        <w:spacing w:after="240" w:line="240" w:lineRule="auto"/>
        <w:ind w:left="0" w:firstLine="2160"/>
        <w:jc w:val="both"/>
        <w:rPr>
          <w:rFonts w:ascii="Times New Roman" w:hAnsi="Times New Roman" w:cs="Times New Roman"/>
          <w:sz w:val="24"/>
          <w:szCs w:val="24"/>
        </w:rPr>
      </w:pPr>
      <w:r w:rsidRPr="00AB6AC5">
        <w:rPr>
          <w:rFonts w:ascii="Times New Roman" w:hAnsi="Times New Roman" w:cs="Times New Roman"/>
          <w:sz w:val="24"/>
          <w:szCs w:val="24"/>
        </w:rPr>
        <w:t>shares of Common Stock or Preferred Stock issued or issuable to an entity as a component of any business relationship with such entity for the purpose of (</w:t>
      </w:r>
      <w:proofErr w:type="spellStart"/>
      <w:r w:rsidRPr="00AB6AC5">
        <w:rPr>
          <w:rFonts w:ascii="Times New Roman" w:hAnsi="Times New Roman" w:cs="Times New Roman"/>
          <w:sz w:val="24"/>
          <w:szCs w:val="24"/>
        </w:rPr>
        <w:t>i</w:t>
      </w:r>
      <w:proofErr w:type="spellEnd"/>
      <w:r w:rsidRPr="00AB6AC5">
        <w:rPr>
          <w:rFonts w:ascii="Times New Roman" w:hAnsi="Times New Roman" w:cs="Times New Roman"/>
          <w:sz w:val="24"/>
          <w:szCs w:val="24"/>
        </w:rPr>
        <w:t>) joint venture, technology licensing or development activities, (ii) distribution, supply or manufacture of the Corporation’s products or services or (ii) any other arrangements involving corporate partners that are primarily for purposes other than raising capital, the terms of which business relationship with such entity are approved by the Board of Directors of the Company (the “</w:t>
      </w:r>
      <w:r w:rsidRPr="0075369F">
        <w:rPr>
          <w:rFonts w:ascii="Times New Roman" w:hAnsi="Times New Roman" w:cs="Times New Roman"/>
          <w:b/>
          <w:bCs/>
          <w:i/>
          <w:iCs/>
          <w:sz w:val="24"/>
          <w:szCs w:val="24"/>
        </w:rPr>
        <w:t>Board</w:t>
      </w:r>
      <w:r w:rsidRPr="00AB6AC5">
        <w:rPr>
          <w:rFonts w:ascii="Times New Roman" w:hAnsi="Times New Roman" w:cs="Times New Roman"/>
          <w:sz w:val="24"/>
          <w:szCs w:val="24"/>
        </w:rPr>
        <w:t>”)</w:t>
      </w:r>
    </w:p>
    <w:p w14:paraId="41F1E47B" w14:textId="599EA2CC" w:rsidR="00EE4A4D" w:rsidRPr="00AB6AC5" w:rsidRDefault="00EE4A4D" w:rsidP="00D609E6">
      <w:pPr>
        <w:pStyle w:val="Legal2IndeL2"/>
        <w:numPr>
          <w:ilvl w:val="1"/>
          <w:numId w:val="19"/>
        </w:numPr>
        <w:rPr>
          <w:szCs w:val="24"/>
        </w:rPr>
      </w:pPr>
      <w:r w:rsidRPr="00AB6AC5">
        <w:rPr>
          <w:b/>
          <w:szCs w:val="24"/>
          <w:u w:val="single"/>
        </w:rPr>
        <w:t>Procedures</w:t>
      </w:r>
      <w:r w:rsidRPr="00AB6AC5">
        <w:rPr>
          <w:b/>
          <w:szCs w:val="24"/>
        </w:rPr>
        <w:t>.</w:t>
      </w:r>
      <w:r w:rsidRPr="00AB6AC5">
        <w:rPr>
          <w:szCs w:val="24"/>
        </w:rPr>
        <w:t xml:space="preserve">  In the event that the Company proposes to undertake an issuance of New Securities, it shall give to each Stockholder a written notice of its intention to issue New Securities (the “</w:t>
      </w:r>
      <w:r w:rsidRPr="00265917">
        <w:rPr>
          <w:b/>
          <w:bCs/>
          <w:i/>
          <w:iCs/>
          <w:szCs w:val="24"/>
        </w:rPr>
        <w:t>Notice</w:t>
      </w:r>
      <w:r w:rsidRPr="00AB6AC5">
        <w:rPr>
          <w:szCs w:val="24"/>
        </w:rPr>
        <w:t xml:space="preserve">”), describing the type of New Securities and the price and the general terms upon which the Company proposes to issue such New Securities.  Each Stockholder shall have five (5) days from the date such Notice is effective, to agree in writing to purchase such Stockholder’s Pro Rata Share of such New Securities for the price and upon the general terms specified in the Notice by giving written notice to the Company and stating therein the quantity of New Securities to be purchased (not to exceed such Stockholder’s Pro Rata Share).  </w:t>
      </w:r>
    </w:p>
    <w:p w14:paraId="77D71FE4" w14:textId="77777777" w:rsidR="00EE4A4D" w:rsidRPr="00AB6AC5" w:rsidRDefault="00EE4A4D" w:rsidP="00D609E6">
      <w:pPr>
        <w:pStyle w:val="Legal2IndeL2"/>
        <w:numPr>
          <w:ilvl w:val="1"/>
          <w:numId w:val="19"/>
        </w:numPr>
        <w:rPr>
          <w:szCs w:val="24"/>
        </w:rPr>
      </w:pPr>
      <w:r w:rsidRPr="00AB6AC5">
        <w:rPr>
          <w:b/>
          <w:szCs w:val="24"/>
          <w:u w:val="single"/>
        </w:rPr>
        <w:t>Failure to Exercise</w:t>
      </w:r>
      <w:r w:rsidRPr="00AB6AC5">
        <w:rPr>
          <w:b/>
          <w:szCs w:val="24"/>
        </w:rPr>
        <w:t>.</w:t>
      </w:r>
      <w:r w:rsidRPr="00AB6AC5">
        <w:rPr>
          <w:szCs w:val="24"/>
        </w:rPr>
        <w:t xml:space="preserve">  In the event that the Stockholders fail to exercise in full the right of first refusal within such five (5) day period, then the Company shall have one hundred twenty (120) days thereafter to sell the New Securities with respect to which the Stockholders’ rights of first refusal hereunder were not exercised, at a price and upon general terms not materially more favorable to the purchasers thereof than specified in the Company’s Notice to the Stockholders.  In the event that the Company has not issued and sold the New Securities within such one hundred twenty (120) day period, then the Company shall not thereafter issue or sell any New Securities without again first offering such New Securities to the Stockholders pursuant to this Section </w:t>
      </w:r>
      <w:r w:rsidR="000D3A24" w:rsidRPr="00AB6AC5">
        <w:rPr>
          <w:szCs w:val="24"/>
        </w:rPr>
        <w:t>1</w:t>
      </w:r>
      <w:r w:rsidRPr="00AB6AC5">
        <w:rPr>
          <w:szCs w:val="24"/>
        </w:rPr>
        <w:t>.</w:t>
      </w:r>
    </w:p>
    <w:p w14:paraId="12EF6C89" w14:textId="77777777" w:rsidR="00EE4A4D" w:rsidRPr="00AB6AC5" w:rsidRDefault="00EE4A4D" w:rsidP="00D609E6">
      <w:pPr>
        <w:pStyle w:val="Legal2IndeL1"/>
        <w:numPr>
          <w:ilvl w:val="0"/>
          <w:numId w:val="19"/>
        </w:numPr>
        <w:rPr>
          <w:szCs w:val="24"/>
        </w:rPr>
      </w:pPr>
      <w:r w:rsidRPr="00AB6AC5">
        <w:rPr>
          <w:b/>
          <w:szCs w:val="24"/>
          <w:u w:val="single"/>
        </w:rPr>
        <w:t>TRANSFER OF SHARES</w:t>
      </w:r>
      <w:r w:rsidRPr="00AB6AC5">
        <w:rPr>
          <w:b/>
          <w:szCs w:val="24"/>
        </w:rPr>
        <w:t>.</w:t>
      </w:r>
      <w:r w:rsidRPr="00AB6AC5">
        <w:rPr>
          <w:szCs w:val="24"/>
        </w:rPr>
        <w:t xml:space="preserve"> </w:t>
      </w:r>
    </w:p>
    <w:p w14:paraId="06237D3E" w14:textId="2B7DE4A4" w:rsidR="00EE4A4D" w:rsidRPr="00AB6AC5" w:rsidRDefault="00D15B45" w:rsidP="00D609E6">
      <w:pPr>
        <w:pStyle w:val="Legal2IndeL2"/>
        <w:numPr>
          <w:ilvl w:val="1"/>
          <w:numId w:val="19"/>
        </w:numPr>
        <w:rPr>
          <w:szCs w:val="24"/>
        </w:rPr>
      </w:pPr>
      <w:r>
        <w:rPr>
          <w:b/>
          <w:szCs w:val="24"/>
          <w:u w:val="single"/>
        </w:rPr>
        <w:t xml:space="preserve">General </w:t>
      </w:r>
      <w:r w:rsidR="00EE4A4D" w:rsidRPr="00AB6AC5">
        <w:rPr>
          <w:b/>
          <w:szCs w:val="24"/>
          <w:u w:val="single"/>
        </w:rPr>
        <w:t>Restrictions on Transfer</w:t>
      </w:r>
      <w:r w:rsidR="00EE4A4D" w:rsidRPr="00AB6AC5">
        <w:rPr>
          <w:b/>
          <w:szCs w:val="24"/>
        </w:rPr>
        <w:t xml:space="preserve">. </w:t>
      </w:r>
      <w:r w:rsidR="00EE4A4D" w:rsidRPr="00AB6AC5">
        <w:rPr>
          <w:szCs w:val="24"/>
        </w:rPr>
        <w:t>In addition to any other limitations on transfer created by applicable securities laws, Stockholder shall not assign, sell, transfer, pledge, encumber or dispose of any interest in the Shares held by such Stockholder unless it complies with this Section 2.</w:t>
      </w:r>
    </w:p>
    <w:p w14:paraId="1A887337" w14:textId="63302778" w:rsidR="00EE4A4D" w:rsidRPr="00AB6AC5" w:rsidRDefault="00EE4A4D" w:rsidP="00D609E6">
      <w:pPr>
        <w:pStyle w:val="Legal2IndeL2"/>
        <w:numPr>
          <w:ilvl w:val="1"/>
          <w:numId w:val="19"/>
        </w:numPr>
        <w:rPr>
          <w:b/>
          <w:szCs w:val="24"/>
        </w:rPr>
      </w:pPr>
      <w:r w:rsidRPr="00AB6AC5">
        <w:rPr>
          <w:b/>
          <w:szCs w:val="24"/>
          <w:u w:val="single"/>
        </w:rPr>
        <w:t xml:space="preserve">Notice of </w:t>
      </w:r>
      <w:r w:rsidR="00D15B45">
        <w:rPr>
          <w:b/>
          <w:szCs w:val="24"/>
          <w:u w:val="single"/>
        </w:rPr>
        <w:t>Transfer</w:t>
      </w:r>
      <w:r w:rsidRPr="00AB6AC5">
        <w:rPr>
          <w:b/>
          <w:szCs w:val="24"/>
        </w:rPr>
        <w:t xml:space="preserve">. </w:t>
      </w:r>
      <w:r w:rsidRPr="00AB6AC5">
        <w:rPr>
          <w:szCs w:val="24"/>
        </w:rPr>
        <w:t>Should any Stockholder (the “</w:t>
      </w:r>
      <w:r w:rsidRPr="00265917">
        <w:rPr>
          <w:b/>
          <w:bCs/>
          <w:i/>
          <w:iCs/>
          <w:szCs w:val="24"/>
        </w:rPr>
        <w:t>Selling Stockholder</w:t>
      </w:r>
      <w:r w:rsidRPr="00AB6AC5">
        <w:rPr>
          <w:szCs w:val="24"/>
        </w:rPr>
        <w:t>”) propose to accept one or more bona fide offers (collectively, a “</w:t>
      </w:r>
      <w:r w:rsidRPr="00265917">
        <w:rPr>
          <w:b/>
          <w:bCs/>
          <w:i/>
          <w:iCs/>
          <w:szCs w:val="24"/>
        </w:rPr>
        <w:t>Purchase Offer</w:t>
      </w:r>
      <w:r w:rsidRPr="00AB6AC5">
        <w:rPr>
          <w:szCs w:val="24"/>
        </w:rPr>
        <w:t xml:space="preserve">”) from any persons to </w:t>
      </w:r>
      <w:r w:rsidR="0037135A">
        <w:rPr>
          <w:szCs w:val="24"/>
        </w:rPr>
        <w:t>acquire</w:t>
      </w:r>
      <w:r w:rsidRPr="00AB6AC5">
        <w:rPr>
          <w:szCs w:val="24"/>
        </w:rPr>
        <w:t xml:space="preserve"> any Shares held by such Stockholder, such Stockholder shall promptly deliver a notice (the “</w:t>
      </w:r>
      <w:r w:rsidRPr="00265917">
        <w:rPr>
          <w:b/>
          <w:bCs/>
          <w:i/>
          <w:iCs/>
          <w:szCs w:val="24"/>
        </w:rPr>
        <w:t>Notice</w:t>
      </w:r>
      <w:r w:rsidRPr="00AB6AC5">
        <w:rPr>
          <w:szCs w:val="24"/>
        </w:rPr>
        <w:t>”) to the Company and each other Stockholder stating the terms and conditions of such Purchase Offer including, without limitation, the number of Shares proposed to be sold or transferred (the “</w:t>
      </w:r>
      <w:r w:rsidRPr="00265917">
        <w:rPr>
          <w:b/>
          <w:bCs/>
          <w:i/>
          <w:iCs/>
          <w:szCs w:val="24"/>
        </w:rPr>
        <w:t>Offered Stock</w:t>
      </w:r>
      <w:r w:rsidRPr="00AB6AC5">
        <w:rPr>
          <w:szCs w:val="24"/>
        </w:rPr>
        <w:t>”), the nature of such sale or transfer, the consideration to be paid</w:t>
      </w:r>
      <w:r w:rsidR="009244C8">
        <w:rPr>
          <w:szCs w:val="24"/>
        </w:rPr>
        <w:t xml:space="preserve"> (the “</w:t>
      </w:r>
      <w:r w:rsidR="009244C8" w:rsidRPr="00265917">
        <w:rPr>
          <w:b/>
          <w:bCs/>
          <w:i/>
          <w:iCs/>
          <w:szCs w:val="24"/>
        </w:rPr>
        <w:t>Offered Price</w:t>
      </w:r>
      <w:r w:rsidR="009244C8">
        <w:rPr>
          <w:szCs w:val="24"/>
        </w:rPr>
        <w:t>”)</w:t>
      </w:r>
      <w:r w:rsidRPr="00AB6AC5">
        <w:rPr>
          <w:szCs w:val="24"/>
        </w:rPr>
        <w:t>, and the name and address of each prospective purchaser or transferee.</w:t>
      </w:r>
    </w:p>
    <w:p w14:paraId="7FB8C797" w14:textId="0D3F87E3" w:rsidR="00EE4A4D" w:rsidRPr="00AB6AC5" w:rsidRDefault="00EE4A4D" w:rsidP="00D609E6">
      <w:pPr>
        <w:pStyle w:val="Legal2IndeL2"/>
        <w:numPr>
          <w:ilvl w:val="1"/>
          <w:numId w:val="19"/>
        </w:numPr>
        <w:rPr>
          <w:b/>
          <w:szCs w:val="24"/>
        </w:rPr>
      </w:pPr>
      <w:r w:rsidRPr="00AB6AC5">
        <w:rPr>
          <w:b/>
          <w:szCs w:val="24"/>
          <w:u w:val="single"/>
        </w:rPr>
        <w:t>Company’s Right of First Refusal</w:t>
      </w:r>
      <w:r w:rsidRPr="00AB6AC5">
        <w:rPr>
          <w:b/>
          <w:szCs w:val="24"/>
        </w:rPr>
        <w:t xml:space="preserve">. </w:t>
      </w:r>
      <w:r w:rsidRPr="00AB6AC5">
        <w:rPr>
          <w:szCs w:val="24"/>
        </w:rPr>
        <w:t>The Company and its assignees have a right of first refusal (the “</w:t>
      </w:r>
      <w:r w:rsidRPr="00265917">
        <w:rPr>
          <w:b/>
          <w:bCs/>
          <w:i/>
          <w:iCs/>
          <w:szCs w:val="24"/>
        </w:rPr>
        <w:t>Right of First Refusal</w:t>
      </w:r>
      <w:r w:rsidRPr="00AB6AC5">
        <w:rPr>
          <w:szCs w:val="24"/>
        </w:rPr>
        <w:t xml:space="preserve">”) to </w:t>
      </w:r>
      <w:r w:rsidR="0037135A">
        <w:rPr>
          <w:szCs w:val="24"/>
        </w:rPr>
        <w:t>acquire</w:t>
      </w:r>
      <w:r w:rsidRPr="00AB6AC5">
        <w:rPr>
          <w:b/>
          <w:bCs/>
          <w:szCs w:val="24"/>
        </w:rPr>
        <w:t xml:space="preserve"> </w:t>
      </w:r>
      <w:r w:rsidRPr="00AB6AC5">
        <w:rPr>
          <w:szCs w:val="24"/>
        </w:rPr>
        <w:t xml:space="preserve">the Offered Stock, provided the </w:t>
      </w:r>
      <w:r w:rsidRPr="00AB6AC5">
        <w:rPr>
          <w:szCs w:val="24"/>
        </w:rPr>
        <w:lastRenderedPageBreak/>
        <w:t xml:space="preserve">Company gives written notice of the exercise of such right to the Selling Stockholder within </w:t>
      </w:r>
      <w:r w:rsidR="00A94DC7">
        <w:rPr>
          <w:szCs w:val="24"/>
        </w:rPr>
        <w:t>ninety</w:t>
      </w:r>
      <w:r w:rsidRPr="00AB6AC5">
        <w:rPr>
          <w:szCs w:val="24"/>
        </w:rPr>
        <w:t xml:space="preserve"> (</w:t>
      </w:r>
      <w:r w:rsidR="00A94DC7">
        <w:rPr>
          <w:szCs w:val="24"/>
        </w:rPr>
        <w:t>9</w:t>
      </w:r>
      <w:r w:rsidRPr="00AB6AC5">
        <w:rPr>
          <w:szCs w:val="24"/>
        </w:rPr>
        <w:t>0) days (the “</w:t>
      </w:r>
      <w:r w:rsidRPr="00265917">
        <w:rPr>
          <w:b/>
          <w:bCs/>
          <w:i/>
          <w:iCs/>
          <w:szCs w:val="24"/>
        </w:rPr>
        <w:t>Company’s Refusal Period</w:t>
      </w:r>
      <w:r w:rsidRPr="00AB6AC5">
        <w:rPr>
          <w:szCs w:val="24"/>
        </w:rPr>
        <w:t>”) after the date of the Selling Stockholder’s Notice to the Company. If the Company does not intend to exercise the Company’s Right of First Refusal in full or if the Company is not lawfully able to repurchase the Offered Stock, the Company will send written notice thereof (the “</w:t>
      </w:r>
      <w:r w:rsidRPr="00265917">
        <w:rPr>
          <w:b/>
          <w:bCs/>
          <w:i/>
          <w:iCs/>
          <w:szCs w:val="24"/>
        </w:rPr>
        <w:t>Company’s Expiration Notice</w:t>
      </w:r>
      <w:r w:rsidRPr="00AB6AC5">
        <w:rPr>
          <w:szCs w:val="24"/>
        </w:rPr>
        <w:t xml:space="preserve">”) to the Selling Stockholder and to the other Stockholders at least fifteen (15) days before the expiration of the Company’s Refusal Period. </w:t>
      </w:r>
      <w:r w:rsidR="002B4126">
        <w:rPr>
          <w:szCs w:val="24"/>
        </w:rPr>
        <w:t xml:space="preserve">The Company’s failure to deliver the Company’s Expiration Notice prior to such date shall be deemed the Company’s election not to purchase any of the Offered Stock. </w:t>
      </w:r>
      <w:r w:rsidRPr="00AB6AC5">
        <w:rPr>
          <w:szCs w:val="24"/>
        </w:rPr>
        <w:t>The Company’s Expiration Notice will specify the Offered Stock subject to the Stockholders’ Right of Secondary Refusal described below.</w:t>
      </w:r>
    </w:p>
    <w:p w14:paraId="6ECDD80D" w14:textId="50747ABF" w:rsidR="00EE4A4D" w:rsidRPr="00AB6AC5" w:rsidRDefault="00EE4A4D" w:rsidP="00D609E6">
      <w:pPr>
        <w:pStyle w:val="Legal2IndeL2"/>
        <w:numPr>
          <w:ilvl w:val="1"/>
          <w:numId w:val="19"/>
        </w:numPr>
        <w:rPr>
          <w:b/>
          <w:szCs w:val="24"/>
        </w:rPr>
      </w:pPr>
      <w:r w:rsidRPr="00AB6AC5">
        <w:rPr>
          <w:b/>
          <w:szCs w:val="24"/>
          <w:u w:val="single"/>
        </w:rPr>
        <w:t>Stockholders’ Right of Secondary Refusal</w:t>
      </w:r>
      <w:r w:rsidRPr="00AB6AC5">
        <w:rPr>
          <w:b/>
          <w:szCs w:val="24"/>
        </w:rPr>
        <w:t xml:space="preserve">. </w:t>
      </w:r>
      <w:r w:rsidRPr="00AB6AC5">
        <w:rPr>
          <w:szCs w:val="24"/>
        </w:rPr>
        <w:t>If the Company does not exercise its Right of First Refusal in full, the Stockholders (other than the Selling Stockholder) will have a right of secondary refusal (the “</w:t>
      </w:r>
      <w:r w:rsidRPr="00265917">
        <w:rPr>
          <w:b/>
          <w:bCs/>
          <w:i/>
          <w:iCs/>
          <w:szCs w:val="24"/>
        </w:rPr>
        <w:t>Right of Secondary Refusal</w:t>
      </w:r>
      <w:r w:rsidRPr="00AB6AC5">
        <w:rPr>
          <w:szCs w:val="24"/>
        </w:rPr>
        <w:t xml:space="preserve">”) to </w:t>
      </w:r>
      <w:r w:rsidR="00B2312C">
        <w:rPr>
          <w:szCs w:val="24"/>
        </w:rPr>
        <w:t>acquire</w:t>
      </w:r>
      <w:r w:rsidRPr="00AB6AC5">
        <w:rPr>
          <w:szCs w:val="24"/>
        </w:rPr>
        <w:t xml:space="preserve"> all of the Offered Stock not purchased by the Company. The Right of Secondary Refusal may be exercised as follows:</w:t>
      </w:r>
    </w:p>
    <w:p w14:paraId="69E64FA6" w14:textId="115920B3" w:rsidR="00EE4A4D" w:rsidRPr="00AB6AC5" w:rsidRDefault="00EE4A4D" w:rsidP="00D609E6">
      <w:pPr>
        <w:pStyle w:val="Legal2IndeL3"/>
        <w:numPr>
          <w:ilvl w:val="2"/>
          <w:numId w:val="19"/>
        </w:numPr>
        <w:rPr>
          <w:szCs w:val="24"/>
        </w:rPr>
      </w:pPr>
      <w:r w:rsidRPr="00AB6AC5">
        <w:rPr>
          <w:szCs w:val="24"/>
        </w:rPr>
        <w:t xml:space="preserve">Each Stockholder desiring to </w:t>
      </w:r>
      <w:r w:rsidR="00B2312C">
        <w:rPr>
          <w:szCs w:val="24"/>
        </w:rPr>
        <w:t>acquire</w:t>
      </w:r>
      <w:r w:rsidRPr="00AB6AC5">
        <w:rPr>
          <w:szCs w:val="24"/>
        </w:rPr>
        <w:t xml:space="preserve"> any or all of the Offered Stock must, within the fifteen (15) day period commencing on the date of the Company’s Expiration Notice (the “</w:t>
      </w:r>
      <w:r w:rsidRPr="00265917">
        <w:rPr>
          <w:b/>
          <w:bCs/>
          <w:i/>
          <w:iCs/>
          <w:szCs w:val="24"/>
        </w:rPr>
        <w:t>Stockholder Refusal Period</w:t>
      </w:r>
      <w:r w:rsidRPr="00AB6AC5">
        <w:rPr>
          <w:szCs w:val="24"/>
        </w:rPr>
        <w:t xml:space="preserve">”), give written notice to the Selling Stockholder and to the Company of such Stockholder’s election to purchase Offered Stock, and the number of shares of Offered Stock that such Stockholder desires to purchase.  </w:t>
      </w:r>
      <w:r w:rsidR="000E0763">
        <w:rPr>
          <w:szCs w:val="24"/>
        </w:rPr>
        <w:t xml:space="preserve">A Stockholder’ failure to deliver such written notice prior to the end of the Stockholder Refusal Period shall be deemed such Stockholder’s election not to purchase any of the Offered Stock. </w:t>
      </w:r>
      <w:r w:rsidRPr="00AB6AC5">
        <w:rPr>
          <w:szCs w:val="24"/>
        </w:rPr>
        <w:t>If the total number of shares specified in the elections of Stockholders exceeds the number of shares of Offered Stock available for purchase, then each Stockholder electing to purchase will have the right to purchase that number of shares of Offered Stock that is obtained by multiplying the number of shares of Offered Stock available for purchase by a fraction (</w:t>
      </w:r>
      <w:proofErr w:type="spellStart"/>
      <w:r w:rsidRPr="00AB6AC5">
        <w:rPr>
          <w:szCs w:val="24"/>
        </w:rPr>
        <w:t>i</w:t>
      </w:r>
      <w:proofErr w:type="spellEnd"/>
      <w:r w:rsidRPr="00AB6AC5">
        <w:rPr>
          <w:szCs w:val="24"/>
        </w:rPr>
        <w:t>) the numerator of which will be the number of Shares then held by such Stockholder</w:t>
      </w:r>
      <w:r w:rsidR="00FD32FC">
        <w:rPr>
          <w:szCs w:val="24"/>
        </w:rPr>
        <w:t xml:space="preserve"> (determined on a fully-diluted basis)</w:t>
      </w:r>
      <w:r w:rsidRPr="00AB6AC5">
        <w:rPr>
          <w:szCs w:val="24"/>
        </w:rPr>
        <w:t>, and (ii) the denominator of which will be the sum of the total number of Shares then held by all Stockholders electing to purchase the Offered Stock</w:t>
      </w:r>
      <w:r w:rsidR="00FD32FC">
        <w:rPr>
          <w:szCs w:val="24"/>
        </w:rPr>
        <w:t xml:space="preserve"> (determined on a fully-diluted basis)</w:t>
      </w:r>
      <w:r w:rsidRPr="00AB6AC5">
        <w:rPr>
          <w:szCs w:val="24"/>
        </w:rPr>
        <w:t>.</w:t>
      </w:r>
    </w:p>
    <w:p w14:paraId="438A86EB" w14:textId="77777777" w:rsidR="00EE4A4D" w:rsidRPr="00AB6AC5" w:rsidRDefault="00EE4A4D" w:rsidP="00D609E6">
      <w:pPr>
        <w:pStyle w:val="Legal2IndeL3"/>
        <w:numPr>
          <w:ilvl w:val="2"/>
          <w:numId w:val="19"/>
        </w:numPr>
        <w:rPr>
          <w:szCs w:val="24"/>
        </w:rPr>
      </w:pPr>
      <w:r w:rsidRPr="00AB6AC5">
        <w:rPr>
          <w:szCs w:val="24"/>
        </w:rPr>
        <w:t>Within ten (10) days after expiration of the Stockholder Refusal Period, the Company will give written notice (the “</w:t>
      </w:r>
      <w:r w:rsidRPr="00265917">
        <w:rPr>
          <w:b/>
          <w:bCs/>
          <w:i/>
          <w:iCs/>
          <w:szCs w:val="24"/>
        </w:rPr>
        <w:t>Stockholders’ Expiration Notice</w:t>
      </w:r>
      <w:r w:rsidRPr="00AB6AC5">
        <w:rPr>
          <w:szCs w:val="24"/>
        </w:rPr>
        <w:t>”) to the Selling Stockholder and the Stockholders specifying the number of Shares of the Offered Stock that was subscribed by the Company and/or the Stockholders exercising their Right of First Refusal or Right of Secondary Refusal, respectively.</w:t>
      </w:r>
    </w:p>
    <w:p w14:paraId="3466C9A0" w14:textId="39E22EA7" w:rsidR="00EE4A4D" w:rsidRPr="00AB6AC5" w:rsidRDefault="00EE4A4D" w:rsidP="00D609E6">
      <w:pPr>
        <w:pStyle w:val="Legal2IndeL2"/>
        <w:numPr>
          <w:ilvl w:val="1"/>
          <w:numId w:val="19"/>
        </w:numPr>
        <w:rPr>
          <w:szCs w:val="24"/>
        </w:rPr>
      </w:pPr>
      <w:r w:rsidRPr="00AB6AC5">
        <w:rPr>
          <w:b/>
          <w:szCs w:val="24"/>
          <w:u w:val="single"/>
        </w:rPr>
        <w:t>Purchase Price</w:t>
      </w:r>
      <w:r w:rsidRPr="00AB6AC5">
        <w:rPr>
          <w:b/>
          <w:szCs w:val="24"/>
        </w:rPr>
        <w:t xml:space="preserve">. </w:t>
      </w:r>
      <w:r w:rsidR="009B4EB0" w:rsidRPr="00AB6AC5">
        <w:rPr>
          <w:szCs w:val="24"/>
        </w:rPr>
        <w:t xml:space="preserve">The purchase price for the Offered Stock to be </w:t>
      </w:r>
      <w:r w:rsidR="0095184D">
        <w:rPr>
          <w:szCs w:val="24"/>
        </w:rPr>
        <w:t>acquired</w:t>
      </w:r>
      <w:r w:rsidR="009B4EB0" w:rsidRPr="00AB6AC5">
        <w:rPr>
          <w:szCs w:val="24"/>
        </w:rPr>
        <w:t xml:space="preserve"> by the Company or by a Stockholder exercising its respective Right of First Refusal or Right of Secondary Refusal under this Agreement will be the Offered </w:t>
      </w:r>
      <w:proofErr w:type="gramStart"/>
      <w:r w:rsidR="009B4EB0" w:rsidRPr="00AB6AC5">
        <w:rPr>
          <w:szCs w:val="24"/>
        </w:rPr>
        <w:t>Price, and</w:t>
      </w:r>
      <w:proofErr w:type="gramEnd"/>
      <w:r w:rsidR="009B4EB0" w:rsidRPr="00AB6AC5">
        <w:rPr>
          <w:szCs w:val="24"/>
        </w:rPr>
        <w:t xml:space="preserve"> will be payable as set forth in Section 2.6 hereof.  If the Offered Price includes consideration other than cash, the cash equivalent value of the non-cash consideration will be determined by the Board in good faith, which determination will be binding upon the Company, the Stockholders and the Selling Stockholder absent fraud or error.</w:t>
      </w:r>
    </w:p>
    <w:p w14:paraId="6651DA50" w14:textId="228B9393" w:rsidR="009B4EB0" w:rsidRPr="00AB6AC5" w:rsidRDefault="009B4EB0" w:rsidP="00D609E6">
      <w:pPr>
        <w:pStyle w:val="Legal2IndeL2"/>
        <w:numPr>
          <w:ilvl w:val="1"/>
          <w:numId w:val="19"/>
        </w:numPr>
        <w:suppressAutoHyphens/>
        <w:rPr>
          <w:szCs w:val="24"/>
        </w:rPr>
      </w:pPr>
      <w:bookmarkStart w:id="3" w:name="_Toc158103375"/>
      <w:bookmarkStart w:id="4" w:name="_Toc158103377"/>
      <w:r w:rsidRPr="00AB6AC5">
        <w:rPr>
          <w:b/>
          <w:szCs w:val="24"/>
          <w:u w:val="single"/>
        </w:rPr>
        <w:lastRenderedPageBreak/>
        <w:t>Payment</w:t>
      </w:r>
      <w:r w:rsidRPr="00AB6AC5">
        <w:rPr>
          <w:b/>
          <w:szCs w:val="24"/>
        </w:rPr>
        <w:t>.</w:t>
      </w:r>
      <w:r w:rsidRPr="00AB6AC5">
        <w:rPr>
          <w:szCs w:val="24"/>
        </w:rPr>
        <w:t xml:space="preserve">  Payment of the purchase price for Offered Stock </w:t>
      </w:r>
      <w:r w:rsidR="0095184D">
        <w:rPr>
          <w:szCs w:val="24"/>
        </w:rPr>
        <w:t>acquired</w:t>
      </w:r>
      <w:r w:rsidRPr="00AB6AC5">
        <w:rPr>
          <w:szCs w:val="24"/>
        </w:rPr>
        <w:t xml:space="preserve"> by the Company or by a Stockholder exercising its respective Right of First Refusal or Right of Secondary Refusal will be made within ten (10) days after the date of the Stockholders’ Expiration Notice. Payment of the purchase price will made, at the option of the Company or, as the case may be, by a Stockholder, (a) in cash</w:t>
      </w:r>
      <w:r w:rsidR="0095184D">
        <w:rPr>
          <w:szCs w:val="24"/>
        </w:rPr>
        <w:t xml:space="preserve"> or by wire transfer</w:t>
      </w:r>
      <w:r w:rsidRPr="00AB6AC5">
        <w:rPr>
          <w:szCs w:val="24"/>
        </w:rPr>
        <w:t>, (b) by cancelation of all or a portion of any outstanding indebtedness of the Selling Stockholder to the Company or such Stockholder, as the case may be, or (c) by any combination of the foregoing.</w:t>
      </w:r>
      <w:bookmarkEnd w:id="3"/>
    </w:p>
    <w:p w14:paraId="6D310B12" w14:textId="77777777" w:rsidR="009B4EB0" w:rsidRPr="00AB6AC5" w:rsidRDefault="009B4EB0" w:rsidP="00D609E6">
      <w:pPr>
        <w:pStyle w:val="Legal2IndeL2"/>
        <w:numPr>
          <w:ilvl w:val="1"/>
          <w:numId w:val="19"/>
        </w:numPr>
        <w:suppressAutoHyphens/>
        <w:rPr>
          <w:szCs w:val="24"/>
        </w:rPr>
      </w:pPr>
      <w:bookmarkStart w:id="5" w:name="_Toc158103376"/>
      <w:r w:rsidRPr="00AB6AC5">
        <w:rPr>
          <w:b/>
          <w:szCs w:val="24"/>
          <w:u w:val="single"/>
        </w:rPr>
        <w:t>Rights of Stockholder</w:t>
      </w:r>
      <w:r w:rsidRPr="00AB6AC5">
        <w:rPr>
          <w:b/>
          <w:szCs w:val="24"/>
        </w:rPr>
        <w:t>.</w:t>
      </w:r>
      <w:r w:rsidRPr="00AB6AC5">
        <w:rPr>
          <w:szCs w:val="24"/>
        </w:rPr>
        <w:t xml:space="preserve">  Upon the date that payment is made for the Offered Stock purchased by the Company and/or any Stockholder(s) pursuant to their respective Rights of First Refusal or Right of Secondary Refusal hereunder, the Selling Stockholder will have no further rights as a holder of such Offered Stock and the Selling Stockholder will forthwith cause all certificate(s) evidencing such Offered Stock to be surrendered to the Company for cancelation, and, as to purchase by Stockholder(s), for transfer to the purchasing Stockholder(s).</w:t>
      </w:r>
      <w:bookmarkEnd w:id="5"/>
    </w:p>
    <w:bookmarkEnd w:id="4"/>
    <w:p w14:paraId="0D82B3D8" w14:textId="77777777" w:rsidR="009B4EB0" w:rsidRPr="00AB6AC5" w:rsidRDefault="009B4EB0" w:rsidP="00D609E6">
      <w:pPr>
        <w:pStyle w:val="Legal2IndeL2"/>
        <w:numPr>
          <w:ilvl w:val="1"/>
          <w:numId w:val="19"/>
        </w:numPr>
        <w:suppressAutoHyphens/>
        <w:rPr>
          <w:szCs w:val="24"/>
        </w:rPr>
      </w:pPr>
      <w:r w:rsidRPr="00AB6AC5">
        <w:rPr>
          <w:b/>
          <w:szCs w:val="24"/>
          <w:u w:val="single"/>
        </w:rPr>
        <w:t>Selling Stockholder’s Right to Transfer</w:t>
      </w:r>
      <w:r w:rsidRPr="00744DE2">
        <w:rPr>
          <w:b/>
          <w:bCs/>
          <w:szCs w:val="24"/>
        </w:rPr>
        <w:t>.</w:t>
      </w:r>
      <w:r w:rsidRPr="00AB6AC5">
        <w:rPr>
          <w:szCs w:val="24"/>
        </w:rPr>
        <w:t xml:space="preserve">  If the Stockholders have not elected pursuant to their Right of Secondary Refusal to purchase all of the Offered Stock not purchased by the Company, then the Selling Stockholder may transfer that portion of the Offered Stock permitted to be sold by the Selling Stockholder to any person named as a proposed transferee in the Selling Stockholder’s Notice, at the Offered Price or at a higher price, provided that such transfer (a) is consummated within one hundred twenty (120) days after the date of the Selling Stockholder’s Notice and (b) is in accordance with the terms and conditions of the </w:t>
      </w:r>
      <w:r w:rsidRPr="00AB6AC5">
        <w:rPr>
          <w:bCs/>
          <w:iCs/>
          <w:szCs w:val="24"/>
        </w:rPr>
        <w:t>Selling Stockholder’s Notice</w:t>
      </w:r>
      <w:r w:rsidRPr="00AB6AC5">
        <w:rPr>
          <w:szCs w:val="24"/>
        </w:rPr>
        <w:t xml:space="preserve">, including the Offered Price, and otherwise in accordance with the terms and conditions of this Agreement. If the Offered Stock is transferred in accordance with the terms and conditions of this Agreement, then the transferee(s) of the Offered Stock will become parties hereto and thereafter hold such Offered Stock subject to the restrictions set forth herein. If the Offered Stock is not so transferred during such one hundred twenty (120) day period, then the Selling Stockholder will not transfer any of such Offered Stock without complying again in full </w:t>
      </w:r>
      <w:proofErr w:type="gramStart"/>
      <w:r w:rsidRPr="00AB6AC5">
        <w:rPr>
          <w:szCs w:val="24"/>
        </w:rPr>
        <w:t>with</w:t>
      </w:r>
      <w:proofErr w:type="gramEnd"/>
      <w:r w:rsidRPr="00AB6AC5">
        <w:rPr>
          <w:szCs w:val="24"/>
        </w:rPr>
        <w:t xml:space="preserve"> the provisions of this Agreement.</w:t>
      </w:r>
    </w:p>
    <w:p w14:paraId="26C917A2" w14:textId="72FC702C" w:rsidR="00B94AC8" w:rsidRPr="00B94AC8" w:rsidRDefault="00B94AC8" w:rsidP="00D609E6">
      <w:pPr>
        <w:pStyle w:val="Legal2IndeL2"/>
        <w:numPr>
          <w:ilvl w:val="1"/>
          <w:numId w:val="19"/>
        </w:numPr>
        <w:rPr>
          <w:szCs w:val="24"/>
        </w:rPr>
      </w:pPr>
      <w:r w:rsidRPr="00744DE2">
        <w:rPr>
          <w:b/>
          <w:bCs/>
          <w:szCs w:val="24"/>
          <w:u w:val="single"/>
        </w:rPr>
        <w:t>Restriction on Transfers to Competitors</w:t>
      </w:r>
      <w:r w:rsidRPr="00744DE2">
        <w:rPr>
          <w:b/>
          <w:bCs/>
          <w:szCs w:val="24"/>
        </w:rPr>
        <w:t xml:space="preserve">. </w:t>
      </w:r>
      <w:r w:rsidR="00744DE2">
        <w:rPr>
          <w:szCs w:val="24"/>
        </w:rPr>
        <w:t xml:space="preserve"> </w:t>
      </w:r>
      <w:r w:rsidR="00A8073C">
        <w:rPr>
          <w:szCs w:val="24"/>
        </w:rPr>
        <w:t>N</w:t>
      </w:r>
      <w:r w:rsidR="00744DE2" w:rsidRPr="00D569F3">
        <w:rPr>
          <w:szCs w:val="24"/>
        </w:rPr>
        <w:t xml:space="preserve">o </w:t>
      </w:r>
      <w:r w:rsidR="00A8073C">
        <w:rPr>
          <w:szCs w:val="24"/>
        </w:rPr>
        <w:t>Stockholder</w:t>
      </w:r>
      <w:r w:rsidR="00744DE2" w:rsidRPr="00D569F3">
        <w:rPr>
          <w:szCs w:val="24"/>
        </w:rPr>
        <w:t xml:space="preserve"> shall transfer any </w:t>
      </w:r>
      <w:r w:rsidR="00A8073C">
        <w:rPr>
          <w:szCs w:val="24"/>
        </w:rPr>
        <w:t>Shares</w:t>
      </w:r>
      <w:r w:rsidR="00744DE2" w:rsidRPr="00D569F3">
        <w:rPr>
          <w:szCs w:val="24"/>
        </w:rPr>
        <w:t xml:space="preserve"> to (a) any entity which, in the</w:t>
      </w:r>
      <w:r w:rsidR="00A8073C">
        <w:rPr>
          <w:szCs w:val="24"/>
        </w:rPr>
        <w:t xml:space="preserve"> good faith</w:t>
      </w:r>
      <w:r w:rsidR="00744DE2" w:rsidRPr="00D569F3">
        <w:rPr>
          <w:szCs w:val="24"/>
        </w:rPr>
        <w:t xml:space="preserve"> determination of the Board of Directors, directly or indirectly competes with the Company</w:t>
      </w:r>
      <w:r w:rsidR="00A8073C">
        <w:rPr>
          <w:szCs w:val="24"/>
        </w:rPr>
        <w:t xml:space="preserve"> or</w:t>
      </w:r>
      <w:r w:rsidR="00744DE2" w:rsidRPr="00D569F3">
        <w:rPr>
          <w:szCs w:val="24"/>
        </w:rPr>
        <w:t xml:space="preserve"> (b) any customer, distributor or supplier of the Company, if the Board of Directors should </w:t>
      </w:r>
      <w:r w:rsidR="00A8073C">
        <w:rPr>
          <w:szCs w:val="24"/>
        </w:rPr>
        <w:t xml:space="preserve">in good faith </w:t>
      </w:r>
      <w:r w:rsidR="00744DE2" w:rsidRPr="00D569F3">
        <w:rPr>
          <w:szCs w:val="24"/>
        </w:rPr>
        <w:t>determine that such transfer would result in such customer, distributor or supplier receiving information that would place the Company at a competitive disadvantage with respect to such customer, distributor or supplier</w:t>
      </w:r>
      <w:r w:rsidR="00A8073C">
        <w:rPr>
          <w:szCs w:val="24"/>
        </w:rPr>
        <w:t>.</w:t>
      </w:r>
    </w:p>
    <w:p w14:paraId="6A3A1426" w14:textId="5B78079E" w:rsidR="00EE4A4D" w:rsidRPr="00AB6AC5" w:rsidRDefault="00EE4A4D" w:rsidP="00D609E6">
      <w:pPr>
        <w:pStyle w:val="Legal2IndeL2"/>
        <w:numPr>
          <w:ilvl w:val="1"/>
          <w:numId w:val="19"/>
        </w:numPr>
        <w:rPr>
          <w:szCs w:val="24"/>
        </w:rPr>
      </w:pPr>
      <w:r w:rsidRPr="00AB6AC5">
        <w:rPr>
          <w:b/>
          <w:szCs w:val="24"/>
          <w:u w:val="single"/>
        </w:rPr>
        <w:t>Termination of Right of First Refusal and Right of Secondary Refusal</w:t>
      </w:r>
      <w:r w:rsidRPr="00AB6AC5">
        <w:rPr>
          <w:b/>
          <w:szCs w:val="24"/>
        </w:rPr>
        <w:t>.</w:t>
      </w:r>
      <w:r w:rsidRPr="00AB6AC5">
        <w:rPr>
          <w:szCs w:val="24"/>
        </w:rPr>
        <w:t xml:space="preserve"> The Company’s Right of First Refusal </w:t>
      </w:r>
      <w:r w:rsidR="009B4EB0" w:rsidRPr="00AB6AC5">
        <w:rPr>
          <w:szCs w:val="24"/>
        </w:rPr>
        <w:t xml:space="preserve">and the Stockholders’ Right of Secondary Refusal </w:t>
      </w:r>
      <w:r w:rsidRPr="00AB6AC5">
        <w:rPr>
          <w:szCs w:val="24"/>
        </w:rPr>
        <w:t>shall terminate upon the first sale of Common Stock of the Company to the general public pursuant to a registration statement filed with and declared effective by the Securities and Exchange Commission under the Securities Act of 1933, as amended (the “</w:t>
      </w:r>
      <w:r w:rsidRPr="00A3101B">
        <w:rPr>
          <w:b/>
          <w:bCs/>
          <w:i/>
          <w:iCs/>
          <w:szCs w:val="24"/>
        </w:rPr>
        <w:t>Securities Act</w:t>
      </w:r>
      <w:r w:rsidRPr="00AB6AC5">
        <w:rPr>
          <w:szCs w:val="24"/>
        </w:rPr>
        <w:t>”).</w:t>
      </w:r>
    </w:p>
    <w:p w14:paraId="5123D5DD" w14:textId="77777777" w:rsidR="00EE4A4D" w:rsidRPr="00AB6AC5" w:rsidRDefault="00EE4A4D" w:rsidP="00D609E6">
      <w:pPr>
        <w:pStyle w:val="Legal2IndeL2"/>
        <w:numPr>
          <w:ilvl w:val="1"/>
          <w:numId w:val="19"/>
        </w:numPr>
        <w:rPr>
          <w:b/>
          <w:szCs w:val="24"/>
          <w:u w:val="single"/>
        </w:rPr>
      </w:pPr>
      <w:r w:rsidRPr="00AB6AC5">
        <w:rPr>
          <w:b/>
          <w:szCs w:val="24"/>
          <w:u w:val="single"/>
        </w:rPr>
        <w:t>Restrictive Legends and Stop-Transfer Orders.</w:t>
      </w:r>
    </w:p>
    <w:p w14:paraId="66D053E1" w14:textId="04399DA3" w:rsidR="00EE4A4D" w:rsidRPr="00AB6AC5" w:rsidRDefault="00EE4A4D" w:rsidP="00D609E6">
      <w:pPr>
        <w:pStyle w:val="Legal2IndeL3"/>
        <w:numPr>
          <w:ilvl w:val="2"/>
          <w:numId w:val="19"/>
        </w:numPr>
        <w:rPr>
          <w:szCs w:val="24"/>
        </w:rPr>
      </w:pPr>
      <w:r w:rsidRPr="00AB6AC5">
        <w:rPr>
          <w:b/>
          <w:szCs w:val="24"/>
          <w:u w:val="single"/>
        </w:rPr>
        <w:lastRenderedPageBreak/>
        <w:t>Legends</w:t>
      </w:r>
      <w:r w:rsidRPr="00AB6AC5">
        <w:rPr>
          <w:b/>
          <w:szCs w:val="24"/>
        </w:rPr>
        <w:t>.</w:t>
      </w:r>
      <w:r w:rsidRPr="00AB6AC5">
        <w:rPr>
          <w:szCs w:val="24"/>
        </w:rPr>
        <w:t xml:space="preserve">  Any certificate or certificates representing the Shares shall bear the following legends (as well as any legends required by applicable state and federal corporate and securities laws and by the </w:t>
      </w:r>
      <w:r w:rsidR="00FD32FC">
        <w:rPr>
          <w:szCs w:val="24"/>
        </w:rPr>
        <w:t>Company</w:t>
      </w:r>
      <w:r w:rsidRPr="00AB6AC5">
        <w:rPr>
          <w:szCs w:val="24"/>
        </w:rPr>
        <w:t>):</w:t>
      </w:r>
    </w:p>
    <w:p w14:paraId="612EBB59" w14:textId="4E5E5670" w:rsidR="00EE4A4D" w:rsidRPr="00AB6AC5" w:rsidRDefault="001F594B" w:rsidP="00D609E6">
      <w:pPr>
        <w:pStyle w:val="Legal2IndeL1"/>
        <w:numPr>
          <w:ilvl w:val="0"/>
          <w:numId w:val="0"/>
        </w:numPr>
        <w:tabs>
          <w:tab w:val="left" w:pos="720"/>
        </w:tabs>
        <w:ind w:left="1440"/>
        <w:rPr>
          <w:szCs w:val="24"/>
        </w:rPr>
      </w:pPr>
      <w:r w:rsidRPr="00AB6AC5">
        <w:rPr>
          <w:szCs w:val="24"/>
        </w:rPr>
        <w:t>THE SHARES REPRESENTED BY THIS CERTIFICATE MAY BE TRANSFERRED ONLY IN ACCORDANCE WITH THE TERMS OF THAT CERTAIN STOCKHOLDER</w:t>
      </w:r>
      <w:r>
        <w:rPr>
          <w:szCs w:val="24"/>
        </w:rPr>
        <w:t>S’</w:t>
      </w:r>
      <w:r w:rsidRPr="00AB6AC5">
        <w:rPr>
          <w:szCs w:val="24"/>
        </w:rPr>
        <w:t xml:space="preserve"> AGREEMENT BETWEEN THE COMPANY AND STOCKHOLDERS OF THE COMPANY DATED </w:t>
      </w:r>
      <w:r w:rsidRPr="00A8073C">
        <w:rPr>
          <w:szCs w:val="24"/>
          <w:highlight w:val="yellow"/>
        </w:rPr>
        <w:t>MONTH</w:t>
      </w:r>
      <w:r w:rsidRPr="001F594B">
        <w:rPr>
          <w:szCs w:val="24"/>
        </w:rPr>
        <w:t xml:space="preserve"> 2021</w:t>
      </w:r>
      <w:r w:rsidRPr="00AB6AC5">
        <w:rPr>
          <w:szCs w:val="24"/>
        </w:rPr>
        <w:t>, A COPY OF WHICH IS ON FILE WITH AND MAY BE OBTAINED FROM THE SECRETARY OF THE COMPANY.</w:t>
      </w:r>
    </w:p>
    <w:p w14:paraId="58D632A7" w14:textId="5B42691E" w:rsidR="00EE4A4D" w:rsidRPr="00AB6AC5" w:rsidRDefault="00EE4A4D" w:rsidP="00D609E6">
      <w:pPr>
        <w:pStyle w:val="Legal2IndeL3"/>
        <w:numPr>
          <w:ilvl w:val="2"/>
          <w:numId w:val="19"/>
        </w:numPr>
        <w:rPr>
          <w:szCs w:val="24"/>
        </w:rPr>
      </w:pPr>
      <w:r w:rsidRPr="00AB6AC5">
        <w:rPr>
          <w:b/>
          <w:szCs w:val="24"/>
          <w:u w:val="single"/>
        </w:rPr>
        <w:t>Void Transfers</w:t>
      </w:r>
      <w:r w:rsidRPr="00AB6AC5">
        <w:rPr>
          <w:b/>
          <w:szCs w:val="24"/>
        </w:rPr>
        <w:t>.</w:t>
      </w:r>
      <w:r w:rsidRPr="00AB6AC5">
        <w:rPr>
          <w:szCs w:val="24"/>
        </w:rPr>
        <w:t xml:space="preserve"> Any </w:t>
      </w:r>
      <w:r w:rsidR="00FD32FC">
        <w:rPr>
          <w:szCs w:val="24"/>
        </w:rPr>
        <w:t xml:space="preserve">attempt to assign, sell, </w:t>
      </w:r>
      <w:r w:rsidRPr="00AB6AC5">
        <w:rPr>
          <w:szCs w:val="24"/>
        </w:rPr>
        <w:t>transfer</w:t>
      </w:r>
      <w:r w:rsidR="00FD32FC">
        <w:rPr>
          <w:szCs w:val="24"/>
        </w:rPr>
        <w:t>, pledge, encumber or dispose of any interest in the Shares</w:t>
      </w:r>
      <w:r w:rsidRPr="00AB6AC5">
        <w:rPr>
          <w:szCs w:val="24"/>
        </w:rPr>
        <w:t xml:space="preserve"> in violation of this Section </w:t>
      </w:r>
      <w:r w:rsidR="009B4EB0" w:rsidRPr="00AB6AC5">
        <w:rPr>
          <w:szCs w:val="24"/>
        </w:rPr>
        <w:t>2</w:t>
      </w:r>
      <w:r w:rsidRPr="00AB6AC5">
        <w:rPr>
          <w:szCs w:val="24"/>
        </w:rPr>
        <w:t xml:space="preserve"> shall be void.</w:t>
      </w:r>
    </w:p>
    <w:p w14:paraId="2C620B08" w14:textId="77777777" w:rsidR="00EE4A4D" w:rsidRPr="00AB6AC5" w:rsidRDefault="00EE4A4D" w:rsidP="00D609E6">
      <w:pPr>
        <w:pStyle w:val="Legal2IndeL3"/>
        <w:numPr>
          <w:ilvl w:val="2"/>
          <w:numId w:val="19"/>
        </w:numPr>
        <w:rPr>
          <w:szCs w:val="24"/>
        </w:rPr>
      </w:pPr>
      <w:r w:rsidRPr="00AB6AC5">
        <w:rPr>
          <w:b/>
          <w:szCs w:val="24"/>
          <w:u w:val="single"/>
        </w:rPr>
        <w:t>Stop-Transfer Notices</w:t>
      </w:r>
      <w:r w:rsidRPr="00AB6AC5">
        <w:rPr>
          <w:b/>
          <w:szCs w:val="24"/>
        </w:rPr>
        <w:t>.</w:t>
      </w:r>
      <w:r w:rsidRPr="00AB6AC5">
        <w:rPr>
          <w:szCs w:val="24"/>
        </w:rPr>
        <w:t xml:space="preserve"> Each Stockholder agrees that, in order to ensure compliance with the restrictions in this Section </w:t>
      </w:r>
      <w:r w:rsidR="009B4EB0" w:rsidRPr="00AB6AC5">
        <w:rPr>
          <w:szCs w:val="24"/>
        </w:rPr>
        <w:t>2</w:t>
      </w:r>
      <w:r w:rsidRPr="00AB6AC5">
        <w:rPr>
          <w:szCs w:val="24"/>
        </w:rPr>
        <w:t>, the Company may issue appropriate “stop transfer” instructions to its transfer agent, if any, and that, if the Company transfers its own securities, it may make appropriate notations to the same effect in its own records.</w:t>
      </w:r>
    </w:p>
    <w:p w14:paraId="484E0DFE" w14:textId="77777777" w:rsidR="00EE4A4D" w:rsidRPr="00AB6AC5" w:rsidRDefault="00EE4A4D" w:rsidP="00D609E6">
      <w:pPr>
        <w:pStyle w:val="Legal2IndeL3"/>
        <w:numPr>
          <w:ilvl w:val="2"/>
          <w:numId w:val="19"/>
        </w:numPr>
        <w:rPr>
          <w:szCs w:val="24"/>
        </w:rPr>
      </w:pPr>
      <w:r w:rsidRPr="00AB6AC5">
        <w:rPr>
          <w:b/>
          <w:szCs w:val="24"/>
          <w:u w:val="single"/>
        </w:rPr>
        <w:t>Refusal to Transfer</w:t>
      </w:r>
      <w:r w:rsidRPr="00AB6AC5">
        <w:rPr>
          <w:b/>
          <w:szCs w:val="24"/>
        </w:rPr>
        <w:t>.</w:t>
      </w:r>
      <w:r w:rsidRPr="00AB6AC5">
        <w:rPr>
          <w:szCs w:val="24"/>
        </w:rPr>
        <w:t xml:space="preserve"> The Company shall not be required (</w:t>
      </w:r>
      <w:proofErr w:type="spellStart"/>
      <w:r w:rsidRPr="00AB6AC5">
        <w:rPr>
          <w:szCs w:val="24"/>
        </w:rPr>
        <w:t>i</w:t>
      </w:r>
      <w:proofErr w:type="spellEnd"/>
      <w:r w:rsidRPr="00AB6AC5">
        <w:rPr>
          <w:szCs w:val="24"/>
        </w:rPr>
        <w:t xml:space="preserve">) to transfer on its books any Shares that have been sold or otherwise transferred in violation of this Section </w:t>
      </w:r>
      <w:r w:rsidR="004740F0" w:rsidRPr="00AB6AC5">
        <w:rPr>
          <w:szCs w:val="24"/>
        </w:rPr>
        <w:t>2</w:t>
      </w:r>
      <w:r w:rsidRPr="00AB6AC5">
        <w:rPr>
          <w:szCs w:val="24"/>
        </w:rPr>
        <w:t>, or (ii) to treat as owner of such Shares or to accord the right to vote or pay dividends to any purchaser or other transferee to whom such Shares shall have been so transferred.</w:t>
      </w:r>
    </w:p>
    <w:p w14:paraId="757BAC2D" w14:textId="740650D2" w:rsidR="00456995" w:rsidRPr="00AB6AC5" w:rsidRDefault="00456995" w:rsidP="00D609E6">
      <w:pPr>
        <w:pStyle w:val="Legal2IndeL1"/>
        <w:rPr>
          <w:b/>
          <w:szCs w:val="24"/>
        </w:rPr>
      </w:pPr>
      <w:r w:rsidRPr="00AB6AC5">
        <w:rPr>
          <w:b/>
          <w:szCs w:val="24"/>
          <w:u w:val="single"/>
        </w:rPr>
        <w:t>LOCKUP AGREEMENT</w:t>
      </w:r>
      <w:r w:rsidRPr="00AB6AC5">
        <w:rPr>
          <w:b/>
          <w:szCs w:val="24"/>
        </w:rPr>
        <w:t>.</w:t>
      </w:r>
    </w:p>
    <w:p w14:paraId="24893190" w14:textId="77777777" w:rsidR="00456995" w:rsidRPr="00AB6AC5" w:rsidRDefault="00456995" w:rsidP="00D609E6">
      <w:pPr>
        <w:pStyle w:val="Legal2IndeL2"/>
        <w:rPr>
          <w:b/>
          <w:bCs/>
          <w:szCs w:val="24"/>
        </w:rPr>
      </w:pPr>
      <w:r w:rsidRPr="00AB6AC5">
        <w:rPr>
          <w:b/>
          <w:szCs w:val="24"/>
          <w:u w:val="single"/>
        </w:rPr>
        <w:t>“Market Stand-Off” Agreement</w:t>
      </w:r>
      <w:r w:rsidRPr="00AB6AC5">
        <w:rPr>
          <w:b/>
          <w:szCs w:val="24"/>
        </w:rPr>
        <w:t>.</w:t>
      </w:r>
      <w:r w:rsidRPr="00AB6AC5">
        <w:rPr>
          <w:szCs w:val="24"/>
        </w:rPr>
        <w:t xml:space="preserve">  </w:t>
      </w:r>
    </w:p>
    <w:p w14:paraId="3E3F147D" w14:textId="77777777" w:rsidR="00456995" w:rsidRPr="00AB6AC5" w:rsidRDefault="00456995" w:rsidP="00D609E6">
      <w:pPr>
        <w:pStyle w:val="Legal2IndeL3"/>
        <w:rPr>
          <w:szCs w:val="24"/>
        </w:rPr>
      </w:pPr>
      <w:r w:rsidRPr="00AB6AC5">
        <w:rPr>
          <w:szCs w:val="24"/>
        </w:rPr>
        <w:t xml:space="preserve">Each </w:t>
      </w:r>
      <w:r w:rsidR="00C974F8" w:rsidRPr="00AB6AC5">
        <w:rPr>
          <w:szCs w:val="24"/>
        </w:rPr>
        <w:t>Stockholder</w:t>
      </w:r>
      <w:r w:rsidRPr="00AB6AC5">
        <w:rPr>
          <w:szCs w:val="24"/>
        </w:rPr>
        <w:t xml:space="preserve"> hereby agrees that such </w:t>
      </w:r>
      <w:r w:rsidR="00C974F8" w:rsidRPr="00AB6AC5">
        <w:rPr>
          <w:szCs w:val="24"/>
        </w:rPr>
        <w:t>Stockholder</w:t>
      </w:r>
      <w:r w:rsidRPr="00AB6AC5">
        <w:rPr>
          <w:szCs w:val="24"/>
        </w:rPr>
        <w:t xml:space="preserve"> will not, without the prior written consent of the lead managing underwriter(s), during the period commencing on the date of the final prospectus relating to the Company’s initial public offering (the “</w:t>
      </w:r>
      <w:r w:rsidRPr="00A3101B">
        <w:rPr>
          <w:b/>
          <w:bCs/>
          <w:i/>
          <w:iCs/>
          <w:szCs w:val="24"/>
        </w:rPr>
        <w:t>IPO</w:t>
      </w:r>
      <w:r w:rsidRPr="00AB6AC5">
        <w:rPr>
          <w:szCs w:val="24"/>
        </w:rPr>
        <w:t>”), and ending on the date specified by the Company and the lead managing underwriter(s) (such period not to exceed 180 days, except that, to the extent requested by the lead managing underwriter(s) to accommodate regulatory restrictions of the Financial Industry Regulatory Authority or any applicable securities exchange relating to the publication or other distribution of research reports or analyst recommendations and opinions, such period may be extended to a total of 215 days), (</w:t>
      </w:r>
      <w:proofErr w:type="spellStart"/>
      <w:r w:rsidRPr="00AB6AC5">
        <w:rPr>
          <w:szCs w:val="24"/>
        </w:rPr>
        <w:t>i</w:t>
      </w:r>
      <w:proofErr w:type="spellEnd"/>
      <w:r w:rsidRPr="00AB6AC5">
        <w:rPr>
          <w:szCs w:val="24"/>
        </w:rPr>
        <w:t>) lend, offer, pledge, sell, contract to sell, sell any option or contract to purchase, purchase any option or contract to sell, grant any option, right or warrant to purchase, or otherwise transfer or dispose of, directly or indirectly, any Common Stock or any securities convertible into or exercisable or exchangeable (directly or indirectly) for Common Stock held immediately prior to the effectiveness of the registration statement for the IPO or (ii) enter into any swap or other arrangement that transfers to another, in whole or in part, any of the economic consequences of ownership of such securities, whether any such transaction described in clause (</w:t>
      </w:r>
      <w:proofErr w:type="spellStart"/>
      <w:r w:rsidRPr="00AB6AC5">
        <w:rPr>
          <w:szCs w:val="24"/>
        </w:rPr>
        <w:t>i</w:t>
      </w:r>
      <w:proofErr w:type="spellEnd"/>
      <w:r w:rsidRPr="00AB6AC5">
        <w:rPr>
          <w:szCs w:val="24"/>
        </w:rPr>
        <w:t xml:space="preserve">) or (ii) above is to be settled by delivery of such securities or other securities, in cash or otherwise. The foregoing provisions of this Section 3.1 shall not apply to the sale of any shares to an underwriter in the </w:t>
      </w:r>
      <w:proofErr w:type="gramStart"/>
      <w:r w:rsidRPr="00AB6AC5">
        <w:rPr>
          <w:szCs w:val="24"/>
        </w:rPr>
        <w:t>IPO, and</w:t>
      </w:r>
      <w:proofErr w:type="gramEnd"/>
      <w:r w:rsidRPr="00AB6AC5">
        <w:rPr>
          <w:szCs w:val="24"/>
        </w:rPr>
        <w:t xml:space="preserve"> shall only be applicable to the </w:t>
      </w:r>
      <w:r w:rsidR="00C974F8" w:rsidRPr="00AB6AC5">
        <w:rPr>
          <w:szCs w:val="24"/>
        </w:rPr>
        <w:t>Stockholder</w:t>
      </w:r>
      <w:r w:rsidRPr="00AB6AC5">
        <w:rPr>
          <w:szCs w:val="24"/>
        </w:rPr>
        <w:t xml:space="preserve">s if all directors of the Company (other than such </w:t>
      </w:r>
      <w:r w:rsidR="00C974F8" w:rsidRPr="00AB6AC5">
        <w:rPr>
          <w:szCs w:val="24"/>
        </w:rPr>
        <w:t>Stockholder</w:t>
      </w:r>
      <w:r w:rsidRPr="00AB6AC5">
        <w:rPr>
          <w:szCs w:val="24"/>
        </w:rPr>
        <w:t xml:space="preserve">) enter into similar arrangements.  The underwriters in </w:t>
      </w:r>
      <w:r w:rsidRPr="00AB6AC5">
        <w:rPr>
          <w:szCs w:val="24"/>
        </w:rPr>
        <w:lastRenderedPageBreak/>
        <w:t>connection with the IPO are intended third-party beneficiaries of this Section 3.1 and shall have the right, power and authority to enforce the provisions hereof as though they w</w:t>
      </w:r>
      <w:r w:rsidR="00032143" w:rsidRPr="00AB6AC5">
        <w:rPr>
          <w:szCs w:val="24"/>
        </w:rPr>
        <w:t xml:space="preserve">ere a party hereto.  Each </w:t>
      </w:r>
      <w:r w:rsidR="00C974F8" w:rsidRPr="00AB6AC5">
        <w:rPr>
          <w:szCs w:val="24"/>
        </w:rPr>
        <w:t>Stockholder</w:t>
      </w:r>
      <w:r w:rsidRPr="00AB6AC5">
        <w:rPr>
          <w:szCs w:val="24"/>
        </w:rPr>
        <w:t xml:space="preserve"> further agrees, if requested by the underwriters of the IPO, to execute an agreement that is consistent with this Section 3.1 or that is necessary to give further effect hereto.</w:t>
      </w:r>
    </w:p>
    <w:p w14:paraId="1501DB93" w14:textId="77777777" w:rsidR="00032143" w:rsidRPr="00AB6AC5" w:rsidRDefault="00456995" w:rsidP="00D609E6">
      <w:pPr>
        <w:pStyle w:val="Legal2IndeL3"/>
        <w:rPr>
          <w:szCs w:val="24"/>
        </w:rPr>
      </w:pPr>
      <w:r w:rsidRPr="00AB6AC5">
        <w:rPr>
          <w:szCs w:val="24"/>
        </w:rPr>
        <w:t xml:space="preserve">In order to enforce the foregoing covenant, the Company may impose stop-transfer instructions with respect to the Common Stock or any securities convertible into or exercisable or exchangeable (directly or indirectly) for Common Stock held by the </w:t>
      </w:r>
      <w:r w:rsidR="00C974F8" w:rsidRPr="00AB6AC5">
        <w:rPr>
          <w:szCs w:val="24"/>
        </w:rPr>
        <w:t>Stockholder</w:t>
      </w:r>
      <w:r w:rsidR="00032143" w:rsidRPr="00AB6AC5">
        <w:rPr>
          <w:szCs w:val="24"/>
        </w:rPr>
        <w:t xml:space="preserve"> </w:t>
      </w:r>
      <w:r w:rsidRPr="00AB6AC5">
        <w:rPr>
          <w:szCs w:val="24"/>
        </w:rPr>
        <w:t>(and transferees and assignees thereof) until the end of such restricted period.</w:t>
      </w:r>
    </w:p>
    <w:p w14:paraId="035159EB" w14:textId="77777777" w:rsidR="00AB6AC5" w:rsidRPr="005370F5" w:rsidRDefault="003D2977" w:rsidP="00A3101B">
      <w:pPr>
        <w:spacing w:after="240" w:line="240" w:lineRule="auto"/>
        <w:ind w:firstLine="1440"/>
        <w:jc w:val="both"/>
        <w:rPr>
          <w:rFonts w:ascii="Times New Roman" w:hAnsi="Times New Roman" w:cs="Times New Roman"/>
          <w:sz w:val="24"/>
          <w:szCs w:val="24"/>
        </w:rPr>
      </w:pPr>
      <w:r>
        <w:rPr>
          <w:rFonts w:ascii="Times New Roman" w:hAnsi="Times New Roman" w:cs="Times New Roman"/>
          <w:b/>
          <w:bCs/>
          <w:iCs/>
          <w:sz w:val="24"/>
          <w:szCs w:val="24"/>
        </w:rPr>
        <w:t>4</w:t>
      </w:r>
      <w:r w:rsidR="00AB6AC5" w:rsidRPr="00AB6AC5">
        <w:rPr>
          <w:rFonts w:ascii="Times New Roman" w:hAnsi="Times New Roman" w:cs="Times New Roman"/>
          <w:b/>
          <w:bCs/>
          <w:iCs/>
          <w:sz w:val="24"/>
          <w:szCs w:val="24"/>
        </w:rPr>
        <w:t>.</w:t>
      </w:r>
      <w:r w:rsidR="00AB6AC5" w:rsidRPr="00AB6AC5">
        <w:rPr>
          <w:rFonts w:ascii="Times New Roman" w:hAnsi="Times New Roman" w:cs="Times New Roman"/>
          <w:b/>
          <w:bCs/>
          <w:iCs/>
          <w:sz w:val="24"/>
          <w:szCs w:val="24"/>
        </w:rPr>
        <w:tab/>
        <w:t xml:space="preserve"> </w:t>
      </w:r>
      <w:r w:rsidR="00AB6AC5" w:rsidRPr="00A3101B">
        <w:rPr>
          <w:rFonts w:ascii="Times New Roman" w:hAnsi="Times New Roman" w:cs="Times New Roman"/>
          <w:b/>
          <w:bCs/>
          <w:iCs/>
          <w:sz w:val="24"/>
          <w:szCs w:val="24"/>
          <w:u w:val="single"/>
        </w:rPr>
        <w:t>BASIC FINANCIAL INFORMATION AND INSPECTION RIGHTS</w:t>
      </w:r>
      <w:r w:rsidR="00D77A29" w:rsidRPr="00A3101B">
        <w:rPr>
          <w:rFonts w:ascii="Times New Roman" w:hAnsi="Times New Roman" w:cs="Times New Roman"/>
          <w:b/>
          <w:bCs/>
          <w:iCs/>
          <w:sz w:val="24"/>
          <w:szCs w:val="24"/>
          <w:u w:val="single"/>
        </w:rPr>
        <w:t xml:space="preserve"> AND CONFIDENTIALITY</w:t>
      </w:r>
      <w:r w:rsidR="00AB6AC5" w:rsidRPr="005370F5">
        <w:rPr>
          <w:rFonts w:ascii="Times New Roman" w:hAnsi="Times New Roman" w:cs="Times New Roman"/>
          <w:b/>
          <w:bCs/>
          <w:iCs/>
          <w:sz w:val="24"/>
          <w:szCs w:val="24"/>
        </w:rPr>
        <w:t>.</w:t>
      </w:r>
    </w:p>
    <w:p w14:paraId="62F332BC" w14:textId="77777777" w:rsidR="005370F5" w:rsidRPr="005370F5" w:rsidRDefault="003D2977" w:rsidP="00D609E6">
      <w:pPr>
        <w:spacing w:after="240" w:line="240" w:lineRule="auto"/>
        <w:ind w:firstLine="720"/>
        <w:jc w:val="both"/>
        <w:rPr>
          <w:rFonts w:ascii="Times New Roman" w:hAnsi="Times New Roman" w:cs="Times New Roman"/>
          <w:sz w:val="24"/>
          <w:szCs w:val="24"/>
        </w:rPr>
      </w:pPr>
      <w:r w:rsidRPr="005370F5">
        <w:rPr>
          <w:rFonts w:ascii="Times New Roman" w:hAnsi="Times New Roman" w:cs="Times New Roman"/>
          <w:b/>
          <w:sz w:val="24"/>
          <w:szCs w:val="24"/>
        </w:rPr>
        <w:t>4</w:t>
      </w:r>
      <w:r w:rsidR="00AB6AC5" w:rsidRPr="005370F5">
        <w:rPr>
          <w:rFonts w:ascii="Times New Roman" w:hAnsi="Times New Roman" w:cs="Times New Roman"/>
          <w:b/>
          <w:sz w:val="24"/>
          <w:szCs w:val="24"/>
        </w:rPr>
        <w:t>.</w:t>
      </w:r>
      <w:r w:rsidRPr="005370F5">
        <w:rPr>
          <w:rFonts w:ascii="Times New Roman" w:hAnsi="Times New Roman" w:cs="Times New Roman"/>
          <w:b/>
          <w:sz w:val="24"/>
          <w:szCs w:val="24"/>
        </w:rPr>
        <w:t>1</w:t>
      </w:r>
      <w:r w:rsidR="00AB6AC5" w:rsidRPr="005370F5">
        <w:rPr>
          <w:rFonts w:ascii="Times New Roman" w:hAnsi="Times New Roman" w:cs="Times New Roman"/>
          <w:sz w:val="24"/>
          <w:szCs w:val="24"/>
        </w:rPr>
        <w:tab/>
      </w:r>
      <w:r w:rsidR="005370F5" w:rsidRPr="005370F5">
        <w:rPr>
          <w:rFonts w:ascii="Times New Roman" w:hAnsi="Times New Roman" w:cs="Times New Roman"/>
          <w:b/>
          <w:sz w:val="24"/>
          <w:szCs w:val="24"/>
          <w:u w:val="single"/>
        </w:rPr>
        <w:t>Information Rights</w:t>
      </w:r>
      <w:r w:rsidR="005370F5" w:rsidRPr="005370F5">
        <w:rPr>
          <w:rFonts w:ascii="Times New Roman" w:hAnsi="Times New Roman" w:cs="Times New Roman"/>
          <w:sz w:val="24"/>
          <w:szCs w:val="24"/>
        </w:rPr>
        <w:t xml:space="preserve">.  The Company shall deliver to each Stockholder who holds at least </w:t>
      </w:r>
      <w:r w:rsidR="00A94DC7">
        <w:rPr>
          <w:rFonts w:ascii="Times New Roman" w:hAnsi="Times New Roman" w:cs="Times New Roman"/>
          <w:sz w:val="24"/>
          <w:szCs w:val="24"/>
        </w:rPr>
        <w:t>1</w:t>
      </w:r>
      <w:r w:rsidR="00F00FC4">
        <w:rPr>
          <w:rFonts w:ascii="Times New Roman" w:hAnsi="Times New Roman" w:cs="Times New Roman"/>
          <w:sz w:val="24"/>
          <w:szCs w:val="24"/>
        </w:rPr>
        <w:t>0</w:t>
      </w:r>
      <w:r w:rsidR="005370F5" w:rsidRPr="005370F5">
        <w:rPr>
          <w:rFonts w:ascii="Times New Roman" w:hAnsi="Times New Roman" w:cs="Times New Roman"/>
          <w:sz w:val="24"/>
          <w:szCs w:val="24"/>
        </w:rPr>
        <w:t>% of the outstanding shares of the Company</w:t>
      </w:r>
      <w:r w:rsidR="005370F5">
        <w:rPr>
          <w:rFonts w:ascii="Times New Roman" w:hAnsi="Times New Roman" w:cs="Times New Roman"/>
          <w:sz w:val="24"/>
          <w:szCs w:val="24"/>
        </w:rPr>
        <w:t xml:space="preserve"> and is not, in good faith opinion of the Company, a competitor or affiliated with a competitor of the Company,</w:t>
      </w:r>
      <w:r w:rsidR="005370F5" w:rsidRPr="005370F5">
        <w:rPr>
          <w:rFonts w:ascii="Times New Roman" w:hAnsi="Times New Roman" w:cs="Times New Roman"/>
          <w:sz w:val="24"/>
          <w:szCs w:val="24"/>
        </w:rPr>
        <w:t xml:space="preserve"> (“</w:t>
      </w:r>
      <w:r w:rsidR="005370F5" w:rsidRPr="00A3101B">
        <w:rPr>
          <w:rFonts w:ascii="Times New Roman" w:eastAsia="Times New Roman" w:hAnsi="Times New Roman" w:cs="Times New Roman"/>
          <w:b/>
          <w:bCs/>
          <w:i/>
          <w:iCs/>
          <w:sz w:val="24"/>
          <w:szCs w:val="24"/>
        </w:rPr>
        <w:t>Significant Holder</w:t>
      </w:r>
      <w:r w:rsidR="005370F5" w:rsidRPr="005370F5">
        <w:rPr>
          <w:rFonts w:ascii="Times New Roman" w:hAnsi="Times New Roman" w:cs="Times New Roman"/>
          <w:sz w:val="24"/>
          <w:szCs w:val="24"/>
        </w:rPr>
        <w:t>”) within sixty (60) days after the end of each quarter of the Company (the “</w:t>
      </w:r>
      <w:r w:rsidR="005370F5" w:rsidRPr="00A3101B">
        <w:rPr>
          <w:rFonts w:ascii="Times New Roman" w:eastAsia="Times New Roman" w:hAnsi="Times New Roman" w:cs="Times New Roman"/>
          <w:b/>
          <w:bCs/>
          <w:i/>
          <w:iCs/>
          <w:sz w:val="24"/>
          <w:szCs w:val="24"/>
        </w:rPr>
        <w:t>Report Quarter</w:t>
      </w:r>
      <w:r w:rsidR="005370F5" w:rsidRPr="005370F5">
        <w:rPr>
          <w:rFonts w:ascii="Times New Roman" w:hAnsi="Times New Roman" w:cs="Times New Roman"/>
          <w:sz w:val="24"/>
          <w:szCs w:val="24"/>
        </w:rPr>
        <w:t>”) reports (the "</w:t>
      </w:r>
      <w:r w:rsidR="005370F5" w:rsidRPr="00A3101B">
        <w:rPr>
          <w:rFonts w:ascii="Times New Roman" w:eastAsia="Times New Roman" w:hAnsi="Times New Roman" w:cs="Times New Roman"/>
          <w:b/>
          <w:bCs/>
          <w:i/>
          <w:iCs/>
          <w:sz w:val="24"/>
          <w:szCs w:val="24"/>
        </w:rPr>
        <w:t>Reports</w:t>
      </w:r>
      <w:r w:rsidR="005370F5" w:rsidRPr="005370F5">
        <w:rPr>
          <w:rFonts w:ascii="Times New Roman" w:hAnsi="Times New Roman" w:cs="Times New Roman"/>
          <w:sz w:val="24"/>
          <w:szCs w:val="24"/>
        </w:rPr>
        <w:t>"), each of which shall include (</w:t>
      </w:r>
      <w:proofErr w:type="spellStart"/>
      <w:r w:rsidR="005370F5" w:rsidRPr="005370F5">
        <w:rPr>
          <w:rFonts w:ascii="Times New Roman" w:hAnsi="Times New Roman" w:cs="Times New Roman"/>
          <w:sz w:val="24"/>
          <w:szCs w:val="24"/>
        </w:rPr>
        <w:t>i</w:t>
      </w:r>
      <w:proofErr w:type="spellEnd"/>
      <w:r w:rsidR="005370F5" w:rsidRPr="005370F5">
        <w:rPr>
          <w:rFonts w:ascii="Times New Roman" w:hAnsi="Times New Roman" w:cs="Times New Roman"/>
          <w:sz w:val="24"/>
          <w:szCs w:val="24"/>
        </w:rPr>
        <w:t>) unaudited annual financial statements,  if available</w:t>
      </w:r>
      <w:r w:rsidR="00CF5068">
        <w:rPr>
          <w:rFonts w:ascii="Times New Roman" w:hAnsi="Times New Roman" w:cs="Times New Roman"/>
          <w:sz w:val="24"/>
          <w:szCs w:val="24"/>
        </w:rPr>
        <w:t>,</w:t>
      </w:r>
      <w:r w:rsidR="005370F5" w:rsidRPr="005370F5">
        <w:rPr>
          <w:rFonts w:ascii="Times New Roman" w:hAnsi="Times New Roman" w:cs="Times New Roman"/>
          <w:sz w:val="24"/>
          <w:szCs w:val="24"/>
        </w:rPr>
        <w:t xml:space="preserve"> for the Report Quarter, including a balance sheet, income statements and statements of cash flows, (ii) the total number of full-time employees working for the Company as of the date of delivery of each report, (iii) a summary of the Company’s activities and progress during the Report Quarter, (iv) copies of term sheets and documents related to any equity or debt financings closed during the Report Quarter, and (v) the same information as provided to any other investor under any agreements relating to any subsequent financing round</w:t>
      </w:r>
    </w:p>
    <w:p w14:paraId="26EE3024" w14:textId="77777777" w:rsidR="00AB6AC5" w:rsidRPr="00AB6AC5" w:rsidRDefault="005370F5" w:rsidP="00D609E6">
      <w:pPr>
        <w:spacing w:after="24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AB6AC5" w:rsidRPr="005370F5">
        <w:rPr>
          <w:rFonts w:ascii="Times New Roman" w:hAnsi="Times New Roman" w:cs="Times New Roman"/>
          <w:b/>
          <w:sz w:val="24"/>
          <w:szCs w:val="24"/>
          <w:u w:val="single"/>
        </w:rPr>
        <w:t>Inspection Rights</w:t>
      </w:r>
      <w:r w:rsidR="00AB6AC5" w:rsidRPr="005370F5">
        <w:rPr>
          <w:rFonts w:ascii="Times New Roman" w:hAnsi="Times New Roman" w:cs="Times New Roman"/>
          <w:sz w:val="24"/>
          <w:szCs w:val="24"/>
        </w:rPr>
        <w:t xml:space="preserve">. The Company will afford to each </w:t>
      </w:r>
      <w:r w:rsidR="003D2977" w:rsidRPr="005370F5">
        <w:rPr>
          <w:rFonts w:ascii="Times New Roman" w:hAnsi="Times New Roman" w:cs="Times New Roman"/>
          <w:sz w:val="24"/>
          <w:szCs w:val="24"/>
        </w:rPr>
        <w:t>Significant Holder</w:t>
      </w:r>
      <w:r w:rsidR="003D2977">
        <w:rPr>
          <w:rFonts w:ascii="Times New Roman" w:hAnsi="Times New Roman" w:cs="Times New Roman"/>
          <w:sz w:val="24"/>
          <w:szCs w:val="24"/>
        </w:rPr>
        <w:t xml:space="preserve"> </w:t>
      </w:r>
      <w:r w:rsidR="00AB6AC5" w:rsidRPr="00AB6AC5">
        <w:rPr>
          <w:rFonts w:ascii="Times New Roman" w:hAnsi="Times New Roman" w:cs="Times New Roman"/>
          <w:sz w:val="24"/>
          <w:szCs w:val="24"/>
        </w:rPr>
        <w:t xml:space="preserve">and to such Significant Holder’s accountants and counsel, reasonable access during normal business hours to all of the properties, books and records of the Company. Each such Significant Holder shall have such other access to management and information as is necessary for it to comply with applicable laws and regulations and reporting obligations. The Company shall not be required to disclose details of contracts </w:t>
      </w:r>
      <w:proofErr w:type="gramStart"/>
      <w:r w:rsidR="00AB6AC5" w:rsidRPr="00AB6AC5">
        <w:rPr>
          <w:rFonts w:ascii="Times New Roman" w:hAnsi="Times New Roman" w:cs="Times New Roman"/>
          <w:sz w:val="24"/>
          <w:szCs w:val="24"/>
        </w:rPr>
        <w:t>with</w:t>
      </w:r>
      <w:proofErr w:type="gramEnd"/>
      <w:r w:rsidR="00AB6AC5" w:rsidRPr="00AB6AC5">
        <w:rPr>
          <w:rFonts w:ascii="Times New Roman" w:hAnsi="Times New Roman" w:cs="Times New Roman"/>
          <w:sz w:val="24"/>
          <w:szCs w:val="24"/>
        </w:rPr>
        <w:t xml:space="preserve"> or work performed for specific customers and other business partners where to do so would violate confidentiality obligations to those parties. Significant Holders may exercise their rights under this Section </w:t>
      </w:r>
      <w:r w:rsidR="003D2977">
        <w:rPr>
          <w:rFonts w:ascii="Times New Roman" w:hAnsi="Times New Roman" w:cs="Times New Roman"/>
          <w:sz w:val="24"/>
          <w:szCs w:val="24"/>
        </w:rPr>
        <w:t>4</w:t>
      </w:r>
      <w:r w:rsidR="00AB6AC5" w:rsidRPr="00AB6AC5">
        <w:rPr>
          <w:rFonts w:ascii="Times New Roman" w:hAnsi="Times New Roman" w:cs="Times New Roman"/>
          <w:sz w:val="24"/>
          <w:szCs w:val="24"/>
        </w:rPr>
        <w:t>.</w:t>
      </w:r>
      <w:r>
        <w:rPr>
          <w:rFonts w:ascii="Times New Roman" w:hAnsi="Times New Roman" w:cs="Times New Roman"/>
          <w:sz w:val="24"/>
          <w:szCs w:val="24"/>
        </w:rPr>
        <w:t>2</w:t>
      </w:r>
      <w:r w:rsidR="00AB6AC5" w:rsidRPr="00AB6AC5">
        <w:rPr>
          <w:rFonts w:ascii="Times New Roman" w:hAnsi="Times New Roman" w:cs="Times New Roman"/>
          <w:sz w:val="24"/>
          <w:szCs w:val="24"/>
        </w:rPr>
        <w:t xml:space="preserve"> only for purposes reasonably related to their interests under this Agreement and related agreements. The rights granted pursuant to this Section </w:t>
      </w:r>
      <w:r w:rsidR="003D2977">
        <w:rPr>
          <w:rFonts w:ascii="Times New Roman" w:hAnsi="Times New Roman" w:cs="Times New Roman"/>
          <w:sz w:val="24"/>
          <w:szCs w:val="24"/>
        </w:rPr>
        <w:t>4</w:t>
      </w:r>
      <w:r w:rsidR="00AB6AC5" w:rsidRPr="00AB6AC5">
        <w:rPr>
          <w:rFonts w:ascii="Times New Roman" w:hAnsi="Times New Roman" w:cs="Times New Roman"/>
          <w:sz w:val="24"/>
          <w:szCs w:val="24"/>
        </w:rPr>
        <w:t>.</w:t>
      </w:r>
      <w:r>
        <w:rPr>
          <w:rFonts w:ascii="Times New Roman" w:hAnsi="Times New Roman" w:cs="Times New Roman"/>
          <w:sz w:val="24"/>
          <w:szCs w:val="24"/>
        </w:rPr>
        <w:t>2</w:t>
      </w:r>
      <w:r w:rsidR="00AB6AC5" w:rsidRPr="00AB6AC5">
        <w:rPr>
          <w:rFonts w:ascii="Times New Roman" w:hAnsi="Times New Roman" w:cs="Times New Roman"/>
          <w:sz w:val="24"/>
          <w:szCs w:val="24"/>
        </w:rPr>
        <w:t xml:space="preserve"> may not be assigned or otherwise conveyed by the Significant Holders or by any subsequent transferee of any such rights without the prior written consent of the Company except as authorized in this Section </w:t>
      </w:r>
      <w:r w:rsidR="003D2977">
        <w:rPr>
          <w:rFonts w:ascii="Times New Roman" w:hAnsi="Times New Roman" w:cs="Times New Roman"/>
          <w:sz w:val="24"/>
          <w:szCs w:val="24"/>
        </w:rPr>
        <w:t>4</w:t>
      </w:r>
      <w:r w:rsidR="00AB6AC5" w:rsidRPr="00AB6AC5">
        <w:rPr>
          <w:rFonts w:ascii="Times New Roman" w:hAnsi="Times New Roman" w:cs="Times New Roman"/>
          <w:sz w:val="24"/>
          <w:szCs w:val="24"/>
        </w:rPr>
        <w:t>.</w:t>
      </w:r>
      <w:r>
        <w:rPr>
          <w:rFonts w:ascii="Times New Roman" w:hAnsi="Times New Roman" w:cs="Times New Roman"/>
          <w:sz w:val="24"/>
          <w:szCs w:val="24"/>
        </w:rPr>
        <w:t>2</w:t>
      </w:r>
      <w:r w:rsidR="003D2977">
        <w:rPr>
          <w:rFonts w:ascii="Times New Roman" w:hAnsi="Times New Roman" w:cs="Times New Roman"/>
          <w:sz w:val="24"/>
          <w:szCs w:val="24"/>
        </w:rPr>
        <w:t>.</w:t>
      </w:r>
    </w:p>
    <w:p w14:paraId="1AB99764" w14:textId="77777777" w:rsidR="00AB6AC5" w:rsidRPr="00AB6AC5" w:rsidRDefault="003D2977" w:rsidP="00D609E6">
      <w:pPr>
        <w:spacing w:after="240" w:line="240" w:lineRule="auto"/>
        <w:ind w:firstLine="720"/>
        <w:jc w:val="both"/>
        <w:rPr>
          <w:rFonts w:ascii="Times New Roman" w:hAnsi="Times New Roman" w:cs="Times New Roman"/>
          <w:sz w:val="24"/>
          <w:szCs w:val="24"/>
        </w:rPr>
      </w:pPr>
      <w:r>
        <w:rPr>
          <w:rFonts w:ascii="Times New Roman" w:hAnsi="Times New Roman" w:cs="Times New Roman"/>
          <w:b/>
          <w:bCs/>
          <w:iCs/>
          <w:sz w:val="24"/>
          <w:szCs w:val="24"/>
        </w:rPr>
        <w:t>4</w:t>
      </w:r>
      <w:r w:rsidR="00AB6AC5" w:rsidRPr="00AB6AC5">
        <w:rPr>
          <w:rFonts w:ascii="Times New Roman" w:hAnsi="Times New Roman" w:cs="Times New Roman"/>
          <w:b/>
          <w:bCs/>
          <w:iCs/>
          <w:sz w:val="24"/>
          <w:szCs w:val="24"/>
        </w:rPr>
        <w:t>.</w:t>
      </w:r>
      <w:r w:rsidR="005370F5">
        <w:rPr>
          <w:rFonts w:ascii="Times New Roman" w:hAnsi="Times New Roman" w:cs="Times New Roman"/>
          <w:b/>
          <w:bCs/>
          <w:iCs/>
          <w:sz w:val="24"/>
          <w:szCs w:val="24"/>
        </w:rPr>
        <w:t>3</w:t>
      </w:r>
      <w:r w:rsidR="00AB6AC5" w:rsidRPr="00AB6AC5">
        <w:rPr>
          <w:rFonts w:ascii="Times New Roman" w:hAnsi="Times New Roman" w:cs="Times New Roman"/>
          <w:b/>
          <w:bCs/>
          <w:iCs/>
          <w:sz w:val="24"/>
          <w:szCs w:val="24"/>
        </w:rPr>
        <w:tab/>
      </w:r>
      <w:r w:rsidR="00AB6AC5" w:rsidRPr="001265AA">
        <w:rPr>
          <w:rFonts w:ascii="Times New Roman" w:hAnsi="Times New Roman" w:cs="Times New Roman"/>
          <w:b/>
          <w:bCs/>
          <w:iCs/>
          <w:sz w:val="24"/>
          <w:szCs w:val="24"/>
          <w:u w:val="single"/>
        </w:rPr>
        <w:t>Confidentiality</w:t>
      </w:r>
      <w:r w:rsidR="00AB6AC5" w:rsidRPr="00AB6AC5">
        <w:rPr>
          <w:rFonts w:ascii="Times New Roman" w:hAnsi="Times New Roman" w:cs="Times New Roman"/>
          <w:b/>
          <w:bCs/>
          <w:i/>
          <w:iCs/>
          <w:sz w:val="24"/>
          <w:szCs w:val="24"/>
        </w:rPr>
        <w:t>.</w:t>
      </w:r>
      <w:r w:rsidR="00AB6AC5" w:rsidRPr="00AB6AC5">
        <w:rPr>
          <w:rFonts w:ascii="Times New Roman" w:hAnsi="Times New Roman" w:cs="Times New Roman"/>
          <w:sz w:val="24"/>
          <w:szCs w:val="24"/>
        </w:rPr>
        <w:t xml:space="preserve">  Each Significant Holder acknowledges that the information received by them pursuant to this Agreement may be confidential and for its use only, and it will not use such confidential information in violation of the Exchange Act or reproduce, disclose or disseminate such information to any other person (other than its affiliates, its and its affiliates’ employees or agents having a need to know the contents of such information, and its attorneys, accountants and financial advisors only to the extent necessary to monitor and provide advice with respect to such Significant Holder’s investment in the Company; provided, however, that Significant Holder takes appropriate action by instruction, agreement or otherwise, with such recipients in order to satisfy Significant Holder’s obligations hereunder), except in connection with </w:t>
      </w:r>
      <w:r w:rsidR="00AB6AC5" w:rsidRPr="00AB6AC5">
        <w:rPr>
          <w:rFonts w:ascii="Times New Roman" w:hAnsi="Times New Roman" w:cs="Times New Roman"/>
          <w:sz w:val="24"/>
          <w:szCs w:val="24"/>
        </w:rPr>
        <w:lastRenderedPageBreak/>
        <w:t xml:space="preserve">the exercise of rights under this Agreement, unless the Company has made such information available to the public generally or such Significant Holder is required to disclose such information by a governmental authority. </w:t>
      </w:r>
    </w:p>
    <w:p w14:paraId="5CF1A7A6" w14:textId="77777777" w:rsidR="006C0E1B" w:rsidRPr="003D2977" w:rsidRDefault="006C0E1B" w:rsidP="00D609E6">
      <w:pPr>
        <w:pStyle w:val="Legal2IndeL1"/>
        <w:keepNext/>
        <w:numPr>
          <w:ilvl w:val="0"/>
          <w:numId w:val="25"/>
        </w:numPr>
        <w:rPr>
          <w:szCs w:val="24"/>
        </w:rPr>
      </w:pPr>
      <w:r w:rsidRPr="003D2977">
        <w:rPr>
          <w:b/>
          <w:caps/>
          <w:szCs w:val="24"/>
          <w:u w:val="single"/>
        </w:rPr>
        <w:t>GENERAL PROVISIONS</w:t>
      </w:r>
      <w:r w:rsidRPr="003D2977">
        <w:rPr>
          <w:b/>
          <w:szCs w:val="24"/>
        </w:rPr>
        <w:t>.</w:t>
      </w:r>
    </w:p>
    <w:p w14:paraId="3DB980B8" w14:textId="77777777" w:rsidR="006C0E1B" w:rsidRPr="00AB6AC5" w:rsidRDefault="006C0E1B" w:rsidP="00D609E6">
      <w:pPr>
        <w:pStyle w:val="Legal2IndeL2"/>
        <w:rPr>
          <w:szCs w:val="24"/>
        </w:rPr>
      </w:pPr>
      <w:bookmarkStart w:id="6" w:name="OLE_LINK1"/>
      <w:bookmarkStart w:id="7" w:name="OLE_LINK2"/>
      <w:bookmarkStart w:id="8" w:name="_Ref497041966"/>
      <w:r w:rsidRPr="00AB6AC5">
        <w:rPr>
          <w:b/>
          <w:szCs w:val="24"/>
          <w:u w:val="single"/>
        </w:rPr>
        <w:t>Termination</w:t>
      </w:r>
      <w:r w:rsidRPr="00AB6AC5">
        <w:rPr>
          <w:b/>
          <w:szCs w:val="24"/>
        </w:rPr>
        <w:t>.</w:t>
      </w:r>
      <w:r w:rsidRPr="00AB6AC5">
        <w:rPr>
          <w:szCs w:val="24"/>
        </w:rPr>
        <w:t xml:space="preserve"> This Agreement (excluding any then-existing obligations) shall terminate immediately prior to the closing of the Company’s initial public offering of Common Stock pursuant to an effective registration statement filed under the Securities Act</w:t>
      </w:r>
      <w:r w:rsidR="000E0366" w:rsidRPr="00AB6AC5">
        <w:rPr>
          <w:szCs w:val="24"/>
        </w:rPr>
        <w:t xml:space="preserve">.  </w:t>
      </w:r>
    </w:p>
    <w:p w14:paraId="108BDE86" w14:textId="77777777" w:rsidR="006C0E1B" w:rsidRPr="00AB6AC5" w:rsidRDefault="006C0E1B" w:rsidP="00D609E6">
      <w:pPr>
        <w:pStyle w:val="Legal2IndeL2"/>
        <w:rPr>
          <w:szCs w:val="24"/>
        </w:rPr>
      </w:pPr>
      <w:r w:rsidRPr="00AB6AC5">
        <w:rPr>
          <w:b/>
          <w:szCs w:val="24"/>
          <w:u w:val="single"/>
        </w:rPr>
        <w:t>Amendment and Waiver of Rights</w:t>
      </w:r>
      <w:r w:rsidRPr="00AB6AC5">
        <w:rPr>
          <w:b/>
          <w:szCs w:val="24"/>
        </w:rPr>
        <w:t>.</w:t>
      </w:r>
      <w:r w:rsidRPr="00AB6AC5">
        <w:rPr>
          <w:szCs w:val="24"/>
        </w:rPr>
        <w:t xml:space="preserve">  </w:t>
      </w:r>
      <w:bookmarkEnd w:id="6"/>
      <w:bookmarkEnd w:id="7"/>
      <w:r w:rsidRPr="00AB6AC5">
        <w:rPr>
          <w:szCs w:val="24"/>
        </w:rPr>
        <w:t xml:space="preserve">Any provision of this Agreement may be </w:t>
      </w:r>
      <w:proofErr w:type="gramStart"/>
      <w:r w:rsidRPr="00AB6AC5">
        <w:rPr>
          <w:szCs w:val="24"/>
        </w:rPr>
        <w:t>amended</w:t>
      </w:r>
      <w:proofErr w:type="gramEnd"/>
      <w:r w:rsidRPr="00AB6AC5">
        <w:rPr>
          <w:szCs w:val="24"/>
        </w:rPr>
        <w:t xml:space="preserve"> and the observance thereof may be waived (either generally or in a particular instance and either retroactively or prospectively), only with the written consent of the Company and </w:t>
      </w:r>
      <w:r w:rsidR="00C974F8" w:rsidRPr="00AB6AC5">
        <w:rPr>
          <w:szCs w:val="24"/>
        </w:rPr>
        <w:t>Stockholder</w:t>
      </w:r>
      <w:r w:rsidRPr="00AB6AC5">
        <w:rPr>
          <w:szCs w:val="24"/>
        </w:rPr>
        <w:t xml:space="preserve">s </w:t>
      </w:r>
      <w:r w:rsidR="0034312C" w:rsidRPr="00AB6AC5">
        <w:rPr>
          <w:szCs w:val="24"/>
        </w:rPr>
        <w:t xml:space="preserve">holding at least </w:t>
      </w:r>
      <w:r w:rsidR="001E3449" w:rsidRPr="00AB6AC5">
        <w:rPr>
          <w:szCs w:val="24"/>
        </w:rPr>
        <w:t xml:space="preserve">a majority </w:t>
      </w:r>
      <w:r w:rsidR="0034312C" w:rsidRPr="00AB6AC5">
        <w:rPr>
          <w:szCs w:val="24"/>
        </w:rPr>
        <w:t xml:space="preserve">of </w:t>
      </w:r>
      <w:r w:rsidR="00B27426" w:rsidRPr="00AB6AC5">
        <w:rPr>
          <w:szCs w:val="24"/>
        </w:rPr>
        <w:t xml:space="preserve">the </w:t>
      </w:r>
      <w:r w:rsidR="001E3449" w:rsidRPr="00AB6AC5">
        <w:rPr>
          <w:szCs w:val="24"/>
        </w:rPr>
        <w:t>S</w:t>
      </w:r>
      <w:r w:rsidR="00B27426" w:rsidRPr="00AB6AC5">
        <w:rPr>
          <w:szCs w:val="24"/>
        </w:rPr>
        <w:t>hares</w:t>
      </w:r>
      <w:r w:rsidRPr="00AB6AC5">
        <w:rPr>
          <w:szCs w:val="24"/>
        </w:rPr>
        <w:t>.</w:t>
      </w:r>
    </w:p>
    <w:p w14:paraId="60E47FB0" w14:textId="77777777" w:rsidR="006C0E1B" w:rsidRPr="00AB6AC5" w:rsidRDefault="006C0E1B" w:rsidP="00D609E6">
      <w:pPr>
        <w:pStyle w:val="Legal2IndeL2"/>
        <w:rPr>
          <w:szCs w:val="24"/>
        </w:rPr>
      </w:pPr>
      <w:r w:rsidRPr="00AB6AC5">
        <w:rPr>
          <w:b/>
          <w:szCs w:val="24"/>
          <w:u w:val="single"/>
        </w:rPr>
        <w:t xml:space="preserve">Additional </w:t>
      </w:r>
      <w:r w:rsidR="00C974F8" w:rsidRPr="00AB6AC5">
        <w:rPr>
          <w:b/>
          <w:szCs w:val="24"/>
          <w:u w:val="single"/>
        </w:rPr>
        <w:t>Stockholder</w:t>
      </w:r>
      <w:r w:rsidRPr="00AB6AC5">
        <w:rPr>
          <w:b/>
          <w:szCs w:val="24"/>
          <w:u w:val="single"/>
        </w:rPr>
        <w:t>s</w:t>
      </w:r>
      <w:r w:rsidRPr="00AB6AC5">
        <w:rPr>
          <w:b/>
          <w:szCs w:val="24"/>
        </w:rPr>
        <w:t>.</w:t>
      </w:r>
      <w:r w:rsidRPr="00AB6AC5">
        <w:rPr>
          <w:szCs w:val="24"/>
        </w:rPr>
        <w:t xml:space="preserve"> Notwithstanding anything to the contrary contained herein, if the Company shall issue additional shares of its Common Stock, any purchaser of such shares of Common Stock shall become a party to this Agreement by executing and delivering an additional counterpart signature page to this Agreement </w:t>
      </w:r>
      <w:r w:rsidR="000E0366" w:rsidRPr="00AB6AC5">
        <w:rPr>
          <w:szCs w:val="24"/>
        </w:rPr>
        <w:t>and shall be deemed a</w:t>
      </w:r>
      <w:r w:rsidRPr="00AB6AC5">
        <w:rPr>
          <w:szCs w:val="24"/>
        </w:rPr>
        <w:t xml:space="preserve"> “</w:t>
      </w:r>
      <w:r w:rsidR="00C974F8" w:rsidRPr="00AB6AC5">
        <w:rPr>
          <w:szCs w:val="24"/>
        </w:rPr>
        <w:t>Stockholder</w:t>
      </w:r>
      <w:r w:rsidRPr="00AB6AC5">
        <w:rPr>
          <w:szCs w:val="24"/>
        </w:rPr>
        <w:t>” hereunder.</w:t>
      </w:r>
    </w:p>
    <w:p w14:paraId="390367F1" w14:textId="77777777" w:rsidR="006C0E1B" w:rsidRPr="00AB6AC5" w:rsidRDefault="006C0E1B" w:rsidP="00D609E6">
      <w:pPr>
        <w:pStyle w:val="Legal2IndeL2"/>
        <w:rPr>
          <w:szCs w:val="24"/>
        </w:rPr>
      </w:pPr>
      <w:r w:rsidRPr="00AB6AC5">
        <w:rPr>
          <w:b/>
          <w:szCs w:val="24"/>
          <w:u w:val="single"/>
        </w:rPr>
        <w:t>Notices</w:t>
      </w:r>
      <w:r w:rsidRPr="00AB6AC5">
        <w:rPr>
          <w:b/>
          <w:szCs w:val="24"/>
        </w:rPr>
        <w:t>.</w:t>
      </w:r>
      <w:r w:rsidRPr="00AB6AC5">
        <w:rPr>
          <w:szCs w:val="24"/>
        </w:rPr>
        <w:t xml:space="preserve">  </w:t>
      </w:r>
      <w:bookmarkEnd w:id="8"/>
      <w:r w:rsidR="00B27426" w:rsidRPr="00AB6AC5">
        <w:rPr>
          <w:szCs w:val="24"/>
        </w:rPr>
        <w:t>All notices and other communications given or made pursuant to this Agreement shall be in writing and shall be deemed effectively given upon the earlier of actual receipt or: (</w:t>
      </w:r>
      <w:proofErr w:type="spellStart"/>
      <w:r w:rsidR="00B27426" w:rsidRPr="00AB6AC5">
        <w:rPr>
          <w:szCs w:val="24"/>
        </w:rPr>
        <w:t>i</w:t>
      </w:r>
      <w:proofErr w:type="spellEnd"/>
      <w:r w:rsidR="00B27426" w:rsidRPr="00AB6AC5">
        <w:rPr>
          <w:szCs w:val="24"/>
        </w:rPr>
        <w:t>) personal delivery to the party to be notified, (ii) when sent, if sent by confirmed electronic mail during normal business hours of the recipient, and if not sent during normal business hours, then on the recipient’s next business day, or (</w:t>
      </w:r>
      <w:r w:rsidR="003D2977">
        <w:rPr>
          <w:szCs w:val="24"/>
        </w:rPr>
        <w:t>ii</w:t>
      </w:r>
      <w:r w:rsidR="00B27426" w:rsidRPr="00AB6AC5">
        <w:rPr>
          <w:szCs w:val="24"/>
        </w:rPr>
        <w:t xml:space="preserve">) </w:t>
      </w:r>
      <w:r w:rsidR="005370F5">
        <w:rPr>
          <w:szCs w:val="24"/>
        </w:rPr>
        <w:t>one</w:t>
      </w:r>
      <w:r w:rsidR="00B27426" w:rsidRPr="00AB6AC5">
        <w:rPr>
          <w:szCs w:val="24"/>
        </w:rPr>
        <w:t xml:space="preserve"> (</w:t>
      </w:r>
      <w:r w:rsidR="005370F5">
        <w:rPr>
          <w:szCs w:val="24"/>
        </w:rPr>
        <w:t>1</w:t>
      </w:r>
      <w:r w:rsidR="00B27426" w:rsidRPr="00AB6AC5">
        <w:rPr>
          <w:szCs w:val="24"/>
        </w:rPr>
        <w:t xml:space="preserve">) business days after deposit with </w:t>
      </w:r>
      <w:r w:rsidR="005370F5">
        <w:rPr>
          <w:szCs w:val="24"/>
        </w:rPr>
        <w:t>an</w:t>
      </w:r>
      <w:r w:rsidR="00B27426" w:rsidRPr="00AB6AC5">
        <w:rPr>
          <w:szCs w:val="24"/>
        </w:rPr>
        <w:t xml:space="preserve"> internationally recognized courier, freight prepaid, with written verification of receipt. All communications shall be sent to the respective parties at their address as set forth on the signature page hereto or to such address as subsequently modified by written notice given in accordance with this Section.</w:t>
      </w:r>
    </w:p>
    <w:p w14:paraId="52B75CB2" w14:textId="77777777" w:rsidR="006C0E1B" w:rsidRPr="00AB6AC5" w:rsidRDefault="006C0E1B" w:rsidP="00D609E6">
      <w:pPr>
        <w:pStyle w:val="Legal2IndeL2"/>
        <w:rPr>
          <w:szCs w:val="24"/>
        </w:rPr>
      </w:pPr>
      <w:r w:rsidRPr="00AB6AC5">
        <w:rPr>
          <w:b/>
          <w:szCs w:val="24"/>
          <w:u w:val="single"/>
        </w:rPr>
        <w:t>Entire Agreement</w:t>
      </w:r>
      <w:r w:rsidRPr="00AB6AC5">
        <w:rPr>
          <w:b/>
          <w:szCs w:val="24"/>
        </w:rPr>
        <w:t>.</w:t>
      </w:r>
      <w:r w:rsidRPr="00AB6AC5">
        <w:rPr>
          <w:szCs w:val="24"/>
        </w:rPr>
        <w:t xml:space="preserve">  This Agreement and the documents referred to herein, together with all the Exhibits hereto, constitute the entire agreement and understanding of the parties with respect to the subject matter of this Agreement, and supersede any and all prior understandings and agreements, whether oral or written, between or among the parties hereto with respect to the specific subject matter hereof.</w:t>
      </w:r>
    </w:p>
    <w:p w14:paraId="5F6BF1D4" w14:textId="77777777" w:rsidR="006C0E1B" w:rsidRPr="00AB6AC5" w:rsidRDefault="006C0E1B" w:rsidP="00D609E6">
      <w:pPr>
        <w:pStyle w:val="Legal2IndeL2"/>
        <w:rPr>
          <w:szCs w:val="24"/>
        </w:rPr>
      </w:pPr>
      <w:r w:rsidRPr="00AB6AC5">
        <w:rPr>
          <w:b/>
          <w:szCs w:val="24"/>
          <w:u w:val="single"/>
        </w:rPr>
        <w:t>Governing Law</w:t>
      </w:r>
      <w:r w:rsidRPr="00AB6AC5">
        <w:rPr>
          <w:b/>
          <w:szCs w:val="24"/>
        </w:rPr>
        <w:t>.</w:t>
      </w:r>
      <w:r w:rsidRPr="00AB6AC5">
        <w:rPr>
          <w:szCs w:val="24"/>
        </w:rPr>
        <w:t xml:space="preserve">  This Agreement shall be governed by, and construed in accordance with, the laws of the </w:t>
      </w:r>
      <w:r w:rsidRPr="005370F5">
        <w:rPr>
          <w:szCs w:val="24"/>
        </w:rPr>
        <w:t>State of Delaware, regardless of the laws that might otherwise govern under applicable principles of conflicts of law.</w:t>
      </w:r>
      <w:r w:rsidR="00FF253B" w:rsidRPr="005370F5">
        <w:rPr>
          <w:szCs w:val="24"/>
        </w:rPr>
        <w:t xml:space="preserve"> </w:t>
      </w:r>
      <w:r w:rsidR="005370F5" w:rsidRPr="005370F5">
        <w:rPr>
          <w:bCs/>
          <w:szCs w:val="24"/>
        </w:rPr>
        <w:t xml:space="preserve">Each of the parties hereto irrevocably consents to the exclusive jurisdiction and venue of any federal or state court within San Francisco County, State of California, United States of America in connection with any matter based upon or arising out of this Agreement, agrees that process may be served upon it in any manner authorized by the laws of the State of California for such persons and waives and covenants not to assert or plead any objection that they might otherwise have to jurisdiction, venue and such process.  Each party agrees not to commence any legal proceedings based upon or arising out of </w:t>
      </w:r>
      <w:r w:rsidR="005370F5" w:rsidRPr="005370F5">
        <w:rPr>
          <w:bCs/>
          <w:szCs w:val="24"/>
        </w:rPr>
        <w:lastRenderedPageBreak/>
        <w:t>this Agreement (whether based on breach of contract, tort, breach of duty or any other theory) except in such courts</w:t>
      </w:r>
      <w:r w:rsidR="00FF253B" w:rsidRPr="005370F5">
        <w:rPr>
          <w:szCs w:val="24"/>
        </w:rPr>
        <w:t>.</w:t>
      </w:r>
    </w:p>
    <w:p w14:paraId="4B2931B3" w14:textId="77777777" w:rsidR="006C0E1B" w:rsidRPr="00AB6AC5" w:rsidRDefault="006C0E1B" w:rsidP="00D609E6">
      <w:pPr>
        <w:pStyle w:val="Legal2IndeL2"/>
        <w:rPr>
          <w:szCs w:val="24"/>
        </w:rPr>
      </w:pPr>
      <w:r w:rsidRPr="00AB6AC5">
        <w:rPr>
          <w:b/>
          <w:szCs w:val="24"/>
          <w:u w:val="single"/>
        </w:rPr>
        <w:t>Severability</w:t>
      </w:r>
      <w:r w:rsidRPr="00AB6AC5">
        <w:rPr>
          <w:b/>
          <w:szCs w:val="24"/>
        </w:rPr>
        <w:t>.</w:t>
      </w:r>
      <w:r w:rsidRPr="00AB6AC5">
        <w:rPr>
          <w:szCs w:val="24"/>
        </w:rPr>
        <w:t xml:space="preserve"> The invalidity or unenforceability of any provision hereof shall in no way affect the validity or enforceability of any other provision.</w:t>
      </w:r>
    </w:p>
    <w:p w14:paraId="06647826" w14:textId="77777777" w:rsidR="006C0E1B" w:rsidRPr="00AB6AC5" w:rsidRDefault="006C0E1B" w:rsidP="00D609E6">
      <w:pPr>
        <w:pStyle w:val="Legal2IndeL2"/>
        <w:rPr>
          <w:szCs w:val="24"/>
        </w:rPr>
      </w:pPr>
      <w:r w:rsidRPr="00AB6AC5">
        <w:rPr>
          <w:b/>
          <w:szCs w:val="24"/>
          <w:u w:val="single"/>
        </w:rPr>
        <w:t>Third Parties</w:t>
      </w:r>
      <w:r w:rsidRPr="00AB6AC5">
        <w:rPr>
          <w:b/>
          <w:szCs w:val="24"/>
        </w:rPr>
        <w:t>.</w:t>
      </w:r>
      <w:r w:rsidRPr="00AB6AC5">
        <w:rPr>
          <w:szCs w:val="24"/>
        </w:rPr>
        <w:t xml:space="preserve">  Nothing in this Agreement, express or implied, is intended to confer upon any person, other than the parties hereto and their successors and assigns, any rights or remedies under or by reason of this Agreement.</w:t>
      </w:r>
    </w:p>
    <w:p w14:paraId="5761EE4B" w14:textId="77777777" w:rsidR="006C0E1B" w:rsidRPr="00AB6AC5" w:rsidRDefault="006C0E1B" w:rsidP="00D609E6">
      <w:pPr>
        <w:pStyle w:val="Legal2IndeL2"/>
        <w:rPr>
          <w:szCs w:val="24"/>
        </w:rPr>
      </w:pPr>
      <w:r w:rsidRPr="00AB6AC5">
        <w:rPr>
          <w:b/>
          <w:szCs w:val="24"/>
          <w:u w:val="single"/>
        </w:rPr>
        <w:t>Successors and Assigns</w:t>
      </w:r>
      <w:r w:rsidRPr="00AB6AC5">
        <w:rPr>
          <w:b/>
          <w:szCs w:val="24"/>
        </w:rPr>
        <w:t>.</w:t>
      </w:r>
      <w:r w:rsidRPr="00AB6AC5">
        <w:rPr>
          <w:szCs w:val="24"/>
        </w:rPr>
        <w:t xml:space="preserve">  This Agreement, and any and all rights, duties and obligations hereunder, shall not be assigned, transferred, delegated or sublicensed by </w:t>
      </w:r>
      <w:proofErr w:type="gramStart"/>
      <w:r w:rsidRPr="00AB6AC5">
        <w:rPr>
          <w:szCs w:val="24"/>
        </w:rPr>
        <w:t>an</w:t>
      </w:r>
      <w:proofErr w:type="gramEnd"/>
      <w:r w:rsidRPr="00AB6AC5">
        <w:rPr>
          <w:szCs w:val="24"/>
        </w:rPr>
        <w:t xml:space="preserve"> </w:t>
      </w:r>
      <w:r w:rsidR="00C974F8" w:rsidRPr="00AB6AC5">
        <w:rPr>
          <w:szCs w:val="24"/>
        </w:rPr>
        <w:t>Stockholder</w:t>
      </w:r>
      <w:r w:rsidRPr="00AB6AC5">
        <w:rPr>
          <w:szCs w:val="24"/>
        </w:rPr>
        <w:t>s without the prior written consent of</w:t>
      </w:r>
      <w:r w:rsidR="000E0366" w:rsidRPr="00AB6AC5">
        <w:rPr>
          <w:szCs w:val="24"/>
        </w:rPr>
        <w:t xml:space="preserve"> the Company.  Any attempt by a</w:t>
      </w:r>
      <w:r w:rsidRPr="00AB6AC5">
        <w:rPr>
          <w:szCs w:val="24"/>
        </w:rPr>
        <w:t xml:space="preserve"> </w:t>
      </w:r>
      <w:r w:rsidR="00C974F8" w:rsidRPr="00AB6AC5">
        <w:rPr>
          <w:szCs w:val="24"/>
        </w:rPr>
        <w:t>Stockholder</w:t>
      </w:r>
      <w:r w:rsidRPr="00AB6AC5">
        <w:rPr>
          <w:szCs w:val="24"/>
        </w:rPr>
        <w:t xml:space="preserve"> without such permission to assign, transfer, delegate or sublicense any rights, duties or obligations that arise under this Agreement shall be void.  Subject to the foregoing, and except as otherwise provided herein, this Agreement, and the rights and obligations of the parties hereunder, will be binding upon and inure to the benefit of their respective successors, assigns, heirs, executors, administrators and legal representatives.</w:t>
      </w:r>
    </w:p>
    <w:p w14:paraId="62FF9EB1" w14:textId="77777777" w:rsidR="006C0E1B" w:rsidRPr="00AB6AC5" w:rsidRDefault="006C0E1B" w:rsidP="00D609E6">
      <w:pPr>
        <w:pStyle w:val="Legal2IndeL2"/>
        <w:rPr>
          <w:szCs w:val="24"/>
        </w:rPr>
      </w:pPr>
      <w:r w:rsidRPr="00AB6AC5">
        <w:rPr>
          <w:b/>
          <w:szCs w:val="24"/>
          <w:u w:val="single"/>
        </w:rPr>
        <w:t>Titles and Headings</w:t>
      </w:r>
      <w:r w:rsidRPr="00AB6AC5">
        <w:rPr>
          <w:b/>
          <w:szCs w:val="24"/>
        </w:rPr>
        <w:t>.</w:t>
      </w:r>
      <w:r w:rsidRPr="00AB6AC5">
        <w:rPr>
          <w:szCs w:val="24"/>
        </w:rPr>
        <w:t xml:space="preserve">  The titles, captions and headings of this Agreement are included for ease of reference only and will be disregarded in interpreting or construing this Agreement.  Unless otherwise specifically stated, all references herein to “sections” and “exhibits” will mean “sections” and “exhibits” to this Agreement.</w:t>
      </w:r>
    </w:p>
    <w:p w14:paraId="0377D847" w14:textId="77777777" w:rsidR="006C0E1B" w:rsidRPr="00AB6AC5" w:rsidRDefault="006C0E1B" w:rsidP="00D609E6">
      <w:pPr>
        <w:pStyle w:val="Legal2IndeL2"/>
        <w:rPr>
          <w:szCs w:val="24"/>
        </w:rPr>
      </w:pPr>
      <w:r w:rsidRPr="00AB6AC5">
        <w:rPr>
          <w:b/>
          <w:szCs w:val="24"/>
          <w:u w:val="single"/>
        </w:rPr>
        <w:t>Counterparts</w:t>
      </w:r>
      <w:r w:rsidRPr="00AB6AC5">
        <w:rPr>
          <w:b/>
          <w:szCs w:val="24"/>
        </w:rPr>
        <w:t>.</w:t>
      </w:r>
      <w:r w:rsidRPr="00AB6AC5">
        <w:rPr>
          <w:szCs w:val="24"/>
        </w:rPr>
        <w:t xml:space="preserve">  </w:t>
      </w:r>
      <w:r w:rsidR="00B27426" w:rsidRPr="00AB6AC5">
        <w:rPr>
          <w:szCs w:val="24"/>
        </w:rPr>
        <w:t xml:space="preserve">This Agreement may be executed in two or more counterparts, each of which shall be deemed an original, </w:t>
      </w:r>
      <w:bookmarkStart w:id="9" w:name="_DV_M376"/>
      <w:bookmarkEnd w:id="9"/>
      <w:r w:rsidR="00B27426" w:rsidRPr="00AB6AC5">
        <w:rPr>
          <w:szCs w:val="24"/>
        </w:rPr>
        <w:t>but all of which together shall constitu</w:t>
      </w:r>
      <w:bookmarkStart w:id="10" w:name="_DV_C197"/>
      <w:r w:rsidR="00B27426" w:rsidRPr="00AB6AC5">
        <w:rPr>
          <w:szCs w:val="24"/>
        </w:rPr>
        <w:t>te one and the same instrument. Counterparts may be delivered via facsimile, electronic mail (including pdf) or other transmission method and any counterpart so delivered shall be deemed to have been duly and validly delivered and be valid and effective for all purposes</w:t>
      </w:r>
      <w:bookmarkEnd w:id="10"/>
      <w:r w:rsidRPr="00AB6AC5">
        <w:rPr>
          <w:szCs w:val="24"/>
        </w:rPr>
        <w:t>.</w:t>
      </w:r>
    </w:p>
    <w:p w14:paraId="27B0C574" w14:textId="77777777" w:rsidR="006C0E1B" w:rsidRPr="00AB6AC5" w:rsidRDefault="006C0E1B" w:rsidP="00D609E6">
      <w:pPr>
        <w:pStyle w:val="Legal2IndeL2"/>
        <w:rPr>
          <w:szCs w:val="24"/>
        </w:rPr>
      </w:pPr>
      <w:r w:rsidRPr="00AB6AC5">
        <w:rPr>
          <w:b/>
          <w:szCs w:val="24"/>
          <w:u w:val="single"/>
        </w:rPr>
        <w:t>Costs and Attorneys’ Fees</w:t>
      </w:r>
      <w:r w:rsidRPr="00AB6AC5">
        <w:rPr>
          <w:b/>
          <w:szCs w:val="24"/>
        </w:rPr>
        <w:t>.</w:t>
      </w:r>
      <w:r w:rsidRPr="00AB6AC5">
        <w:rPr>
          <w:szCs w:val="24"/>
        </w:rPr>
        <w:t xml:space="preserve">  In the event that any action, suit or other proceeding is instituted concerning or arising out of this Agreement or any transaction contemplated hereunder, the prevailing party shall recover all of such party’s costs and attorneys’ fees incurred in each such action, suit or other proceeding, including any and all appeals or petitions therefrom.</w:t>
      </w:r>
    </w:p>
    <w:p w14:paraId="4393CCAE" w14:textId="77777777" w:rsidR="006C0E1B" w:rsidRDefault="006C0E1B" w:rsidP="00D609E6">
      <w:pPr>
        <w:pStyle w:val="Legal2IndeL2"/>
        <w:rPr>
          <w:szCs w:val="24"/>
        </w:rPr>
      </w:pPr>
      <w:r w:rsidRPr="00AB6AC5">
        <w:rPr>
          <w:b/>
          <w:szCs w:val="24"/>
          <w:u w:val="single"/>
        </w:rPr>
        <w:t>Further Assurances</w:t>
      </w:r>
      <w:r w:rsidRPr="00AB6AC5">
        <w:rPr>
          <w:b/>
          <w:szCs w:val="24"/>
        </w:rPr>
        <w:t>.</w:t>
      </w:r>
      <w:r w:rsidRPr="00AB6AC5">
        <w:rPr>
          <w:szCs w:val="24"/>
        </w:rPr>
        <w:t xml:space="preserve"> The parties agree to execute such further documents and instruments and to take such further actions as may be reasonably necessary to carry out the purposes and intent of this Agreement.</w:t>
      </w:r>
    </w:p>
    <w:p w14:paraId="7DDFA691" w14:textId="77777777" w:rsidR="00A3101B" w:rsidRDefault="00D77A29" w:rsidP="00A3101B">
      <w:pPr>
        <w:pStyle w:val="BodyText"/>
        <w:ind w:firstLine="0"/>
        <w:jc w:val="center"/>
        <w:sectPr w:rsidR="00A3101B">
          <w:headerReference w:type="default" r:id="rId7"/>
          <w:footerReference w:type="default" r:id="rId8"/>
          <w:pgSz w:w="12240" w:h="15840"/>
          <w:pgMar w:top="1440" w:right="1440" w:bottom="1440" w:left="1440" w:header="720" w:footer="720" w:gutter="0"/>
          <w:cols w:space="720"/>
          <w:docGrid w:linePitch="360"/>
        </w:sectPr>
      </w:pPr>
      <w:r>
        <w:t>[Signature Page Follows]</w:t>
      </w:r>
    </w:p>
    <w:p w14:paraId="69C1DF16" w14:textId="77777777" w:rsidR="00AB6AC5" w:rsidRPr="00AB6AC5" w:rsidRDefault="00AB6AC5" w:rsidP="00D609E6">
      <w:pPr>
        <w:pStyle w:val="BodyText"/>
      </w:pPr>
      <w:r>
        <w:lastRenderedPageBreak/>
        <w:t>IN WITNESS WHEREOF, the undersigned has caused this Agreement to be executed by its duly authorized agent as of the date first above stated</w:t>
      </w:r>
    </w:p>
    <w:tbl>
      <w:tblPr>
        <w:tblW w:w="5300" w:type="dxa"/>
        <w:tblInd w:w="4220" w:type="dxa"/>
        <w:tblLayout w:type="fixed"/>
        <w:tblCellMar>
          <w:left w:w="120" w:type="dxa"/>
          <w:right w:w="120" w:type="dxa"/>
        </w:tblCellMar>
        <w:tblLook w:val="0000" w:firstRow="0" w:lastRow="0" w:firstColumn="0" w:lastColumn="0" w:noHBand="0" w:noVBand="0"/>
      </w:tblPr>
      <w:tblGrid>
        <w:gridCol w:w="5300"/>
      </w:tblGrid>
      <w:tr w:rsidR="00AB6AC5" w:rsidRPr="00AB6AC5" w14:paraId="38E6B246" w14:textId="77777777" w:rsidTr="00A90EBC">
        <w:trPr>
          <w:trHeight w:val="403"/>
        </w:trPr>
        <w:tc>
          <w:tcPr>
            <w:tcW w:w="5300" w:type="dxa"/>
          </w:tcPr>
          <w:p w14:paraId="4D984155" w14:textId="77777777" w:rsidR="00AB6AC5" w:rsidRPr="00AB6AC5" w:rsidRDefault="00AB6AC5" w:rsidP="00D609E6">
            <w:pPr>
              <w:spacing w:after="0"/>
              <w:jc w:val="both"/>
              <w:rPr>
                <w:rFonts w:ascii="Times New Roman" w:hAnsi="Times New Roman" w:cs="Times New Roman"/>
                <w:b/>
                <w:sz w:val="24"/>
                <w:szCs w:val="24"/>
              </w:rPr>
            </w:pPr>
            <w:r w:rsidRPr="00AB6AC5">
              <w:rPr>
                <w:rFonts w:ascii="Times New Roman" w:hAnsi="Times New Roman" w:cs="Times New Roman"/>
                <w:b/>
                <w:sz w:val="24"/>
                <w:szCs w:val="24"/>
              </w:rPr>
              <w:t>COMPANY:</w:t>
            </w:r>
          </w:p>
          <w:p w14:paraId="650F3AC2" w14:textId="77777777" w:rsidR="00AB6AC5" w:rsidRPr="00AB6AC5" w:rsidRDefault="00AB6AC5" w:rsidP="00D609E6">
            <w:pPr>
              <w:spacing w:after="0"/>
              <w:jc w:val="both"/>
              <w:rPr>
                <w:rFonts w:ascii="Times New Roman" w:hAnsi="Times New Roman" w:cs="Times New Roman"/>
                <w:b/>
                <w:sz w:val="24"/>
                <w:szCs w:val="24"/>
              </w:rPr>
            </w:pPr>
          </w:p>
          <w:p w14:paraId="144E1F5D" w14:textId="67B801D7" w:rsidR="00AB6AC5" w:rsidRPr="00AB6AC5" w:rsidRDefault="001F594B" w:rsidP="00D609E6">
            <w:pPr>
              <w:spacing w:after="0"/>
              <w:jc w:val="both"/>
              <w:rPr>
                <w:rFonts w:ascii="Times New Roman" w:hAnsi="Times New Roman" w:cs="Times New Roman"/>
                <w:b/>
                <w:sz w:val="24"/>
                <w:szCs w:val="24"/>
              </w:rPr>
            </w:pPr>
            <w:r w:rsidRPr="001A7571">
              <w:rPr>
                <w:rFonts w:ascii="Times New Roman" w:hAnsi="Times New Roman" w:cs="Times New Roman"/>
                <w:b/>
                <w:sz w:val="24"/>
                <w:szCs w:val="24"/>
                <w:highlight w:val="yellow"/>
              </w:rPr>
              <w:t>COMPANY</w:t>
            </w:r>
          </w:p>
          <w:p w14:paraId="1415E211" w14:textId="77777777" w:rsidR="00AB6AC5" w:rsidRPr="00AB6AC5" w:rsidRDefault="00AB6AC5" w:rsidP="00D609E6">
            <w:pPr>
              <w:spacing w:after="0"/>
              <w:jc w:val="both"/>
              <w:rPr>
                <w:rFonts w:ascii="Times New Roman" w:hAnsi="Times New Roman" w:cs="Times New Roman"/>
                <w:sz w:val="24"/>
                <w:szCs w:val="24"/>
              </w:rPr>
            </w:pPr>
          </w:p>
          <w:p w14:paraId="268E7141" w14:textId="77777777" w:rsidR="00AB6AC5" w:rsidRPr="00AB6AC5" w:rsidRDefault="00AB6AC5" w:rsidP="00D609E6">
            <w:pPr>
              <w:spacing w:after="0"/>
              <w:jc w:val="both"/>
              <w:rPr>
                <w:rFonts w:ascii="Times New Roman" w:hAnsi="Times New Roman" w:cs="Times New Roman"/>
                <w:sz w:val="24"/>
                <w:szCs w:val="24"/>
              </w:rPr>
            </w:pPr>
          </w:p>
          <w:p w14:paraId="419BA49A" w14:textId="77777777" w:rsidR="00AB6AC5" w:rsidRPr="00AB6AC5" w:rsidRDefault="00AB6AC5" w:rsidP="00D609E6">
            <w:pPr>
              <w:keepNext/>
              <w:tabs>
                <w:tab w:val="left" w:pos="4680"/>
              </w:tabs>
              <w:spacing w:after="0"/>
              <w:jc w:val="both"/>
              <w:rPr>
                <w:rFonts w:ascii="Times New Roman" w:hAnsi="Times New Roman" w:cs="Times New Roman"/>
                <w:sz w:val="24"/>
                <w:szCs w:val="24"/>
                <w:u w:val="single"/>
              </w:rPr>
            </w:pPr>
            <w:r w:rsidRPr="00AB6AC5">
              <w:rPr>
                <w:rFonts w:ascii="Times New Roman" w:hAnsi="Times New Roman" w:cs="Times New Roman"/>
                <w:sz w:val="24"/>
                <w:szCs w:val="24"/>
              </w:rPr>
              <w:t>By:</w:t>
            </w:r>
            <w:r w:rsidRPr="00AB6AC5">
              <w:rPr>
                <w:rFonts w:ascii="Times New Roman" w:hAnsi="Times New Roman" w:cs="Times New Roman"/>
                <w:sz w:val="24"/>
                <w:szCs w:val="24"/>
                <w:u w:val="single"/>
              </w:rPr>
              <w:tab/>
            </w:r>
            <w:r w:rsidRPr="00AB6AC5">
              <w:rPr>
                <w:rFonts w:ascii="Times New Roman" w:hAnsi="Times New Roman" w:cs="Times New Roman"/>
                <w:sz w:val="24"/>
                <w:szCs w:val="24"/>
                <w:u w:val="single"/>
              </w:rPr>
              <w:tab/>
            </w:r>
          </w:p>
          <w:p w14:paraId="0B06878F" w14:textId="6E316AC4" w:rsidR="00AB6AC5" w:rsidRDefault="001A7571" w:rsidP="00D609E6">
            <w:pPr>
              <w:keepNext/>
              <w:tabs>
                <w:tab w:val="right" w:pos="5060"/>
              </w:tabs>
              <w:spacing w:after="0"/>
              <w:jc w:val="both"/>
              <w:rPr>
                <w:rFonts w:ascii="Times New Roman" w:hAnsi="Times New Roman" w:cs="Times New Roman"/>
                <w:sz w:val="24"/>
                <w:szCs w:val="24"/>
              </w:rPr>
            </w:pPr>
            <w:r>
              <w:rPr>
                <w:rFonts w:ascii="Times New Roman" w:hAnsi="Times New Roman" w:cs="Times New Roman"/>
                <w:sz w:val="24"/>
                <w:szCs w:val="24"/>
              </w:rPr>
              <w:t>Name:</w:t>
            </w:r>
            <w:r w:rsidR="001F594B">
              <w:rPr>
                <w:rFonts w:ascii="Times New Roman" w:hAnsi="Times New Roman" w:cs="Times New Roman"/>
                <w:sz w:val="24"/>
                <w:szCs w:val="24"/>
              </w:rPr>
              <w:t xml:space="preserve"> </w:t>
            </w:r>
            <w:r w:rsidR="001F594B" w:rsidRPr="001F594B">
              <w:rPr>
                <w:rFonts w:ascii="Times New Roman" w:hAnsi="Times New Roman" w:cs="Times New Roman"/>
                <w:sz w:val="24"/>
                <w:szCs w:val="24"/>
                <w:highlight w:val="yellow"/>
              </w:rPr>
              <w:t>NAME</w:t>
            </w:r>
          </w:p>
          <w:p w14:paraId="3FF0FA4D" w14:textId="338005DA" w:rsidR="001A7571" w:rsidRPr="00AB6AC5" w:rsidRDefault="001A7571" w:rsidP="00D609E6">
            <w:pPr>
              <w:keepNext/>
              <w:tabs>
                <w:tab w:val="right" w:pos="5060"/>
              </w:tabs>
              <w:spacing w:after="0"/>
              <w:jc w:val="both"/>
              <w:rPr>
                <w:rFonts w:ascii="Times New Roman" w:hAnsi="Times New Roman" w:cs="Times New Roman"/>
                <w:sz w:val="24"/>
                <w:szCs w:val="24"/>
              </w:rPr>
            </w:pPr>
            <w:r>
              <w:rPr>
                <w:rFonts w:ascii="Times New Roman" w:hAnsi="Times New Roman" w:cs="Times New Roman"/>
                <w:sz w:val="24"/>
                <w:szCs w:val="24"/>
              </w:rPr>
              <w:t>Title:</w:t>
            </w:r>
          </w:p>
          <w:p w14:paraId="148B23BC" w14:textId="77777777" w:rsidR="00AB6AC5" w:rsidRPr="00AB6AC5" w:rsidRDefault="00AB6AC5" w:rsidP="00D609E6">
            <w:pPr>
              <w:keepNext/>
              <w:tabs>
                <w:tab w:val="right" w:pos="5060"/>
              </w:tabs>
              <w:spacing w:after="0"/>
              <w:jc w:val="both"/>
              <w:rPr>
                <w:rFonts w:ascii="Times New Roman" w:hAnsi="Times New Roman" w:cs="Times New Roman"/>
                <w:sz w:val="24"/>
                <w:szCs w:val="24"/>
              </w:rPr>
            </w:pPr>
          </w:p>
        </w:tc>
      </w:tr>
      <w:tr w:rsidR="00AB6AC5" w:rsidRPr="00AB6AC5" w14:paraId="3E2DD1A6" w14:textId="77777777" w:rsidTr="00D77A29">
        <w:trPr>
          <w:trHeight w:val="2250"/>
        </w:trPr>
        <w:tc>
          <w:tcPr>
            <w:tcW w:w="5300" w:type="dxa"/>
          </w:tcPr>
          <w:p w14:paraId="0551EC25" w14:textId="77777777" w:rsidR="00AB6AC5" w:rsidRPr="00AB6AC5" w:rsidRDefault="00AB6AC5" w:rsidP="00D609E6">
            <w:pPr>
              <w:spacing w:after="0"/>
              <w:jc w:val="both"/>
              <w:rPr>
                <w:rFonts w:ascii="Times New Roman" w:hAnsi="Times New Roman" w:cs="Times New Roman"/>
                <w:sz w:val="24"/>
                <w:szCs w:val="24"/>
              </w:rPr>
            </w:pPr>
            <w:r w:rsidRPr="00AB6AC5">
              <w:rPr>
                <w:rFonts w:ascii="Times New Roman" w:hAnsi="Times New Roman" w:cs="Times New Roman"/>
                <w:b/>
                <w:sz w:val="24"/>
                <w:szCs w:val="24"/>
              </w:rPr>
              <w:t>STOCKHOLDERS</w:t>
            </w:r>
            <w:r w:rsidRPr="00AB6AC5">
              <w:rPr>
                <w:rFonts w:ascii="Times New Roman" w:hAnsi="Times New Roman" w:cs="Times New Roman"/>
                <w:sz w:val="24"/>
                <w:szCs w:val="24"/>
              </w:rPr>
              <w:t>:</w:t>
            </w:r>
          </w:p>
          <w:p w14:paraId="32DCEA36" w14:textId="77777777" w:rsidR="00F00FC4" w:rsidRDefault="00F00FC4" w:rsidP="00D609E6">
            <w:pPr>
              <w:pStyle w:val="Section11"/>
              <w:keepNext/>
              <w:autoSpaceDE w:val="0"/>
              <w:autoSpaceDN w:val="0"/>
              <w:adjustRightInd w:val="0"/>
              <w:jc w:val="both"/>
              <w:rPr>
                <w:rFonts w:ascii="Times New Roman" w:hAnsi="Times New Roman"/>
                <w:szCs w:val="24"/>
              </w:rPr>
            </w:pPr>
          </w:p>
          <w:p w14:paraId="6011D7E2" w14:textId="77777777" w:rsidR="00F00FC4" w:rsidRDefault="00F00FC4" w:rsidP="00D609E6">
            <w:pPr>
              <w:pStyle w:val="Section11"/>
              <w:keepNext/>
              <w:autoSpaceDE w:val="0"/>
              <w:autoSpaceDN w:val="0"/>
              <w:adjustRightInd w:val="0"/>
              <w:jc w:val="both"/>
              <w:rPr>
                <w:rFonts w:ascii="Times New Roman" w:hAnsi="Times New Roman"/>
                <w:szCs w:val="24"/>
              </w:rPr>
            </w:pPr>
          </w:p>
          <w:p w14:paraId="2793D0C5" w14:textId="77777777" w:rsidR="00D77A29" w:rsidRDefault="00D77A29" w:rsidP="00D609E6">
            <w:pPr>
              <w:pStyle w:val="Section11"/>
              <w:keepNext/>
              <w:pBdr>
                <w:bottom w:val="single" w:sz="12" w:space="1" w:color="auto"/>
              </w:pBdr>
              <w:autoSpaceDE w:val="0"/>
              <w:autoSpaceDN w:val="0"/>
              <w:adjustRightInd w:val="0"/>
              <w:jc w:val="both"/>
              <w:rPr>
                <w:rFonts w:ascii="Times New Roman" w:hAnsi="Times New Roman"/>
                <w:szCs w:val="24"/>
              </w:rPr>
            </w:pPr>
          </w:p>
          <w:p w14:paraId="6CBCDCF8" w14:textId="4BA55B12" w:rsidR="005370F5" w:rsidRDefault="001F594B" w:rsidP="00D609E6">
            <w:pPr>
              <w:pStyle w:val="Section11"/>
              <w:keepNext/>
              <w:autoSpaceDE w:val="0"/>
              <w:autoSpaceDN w:val="0"/>
              <w:adjustRightInd w:val="0"/>
              <w:jc w:val="both"/>
              <w:rPr>
                <w:rFonts w:ascii="Times New Roman" w:hAnsi="Times New Roman"/>
                <w:szCs w:val="24"/>
              </w:rPr>
            </w:pPr>
            <w:r w:rsidRPr="001F594B">
              <w:rPr>
                <w:rFonts w:ascii="Times New Roman" w:hAnsi="Times New Roman"/>
                <w:szCs w:val="24"/>
                <w:highlight w:val="yellow"/>
              </w:rPr>
              <w:t>NAME</w:t>
            </w:r>
          </w:p>
          <w:p w14:paraId="24761A45" w14:textId="77777777" w:rsidR="003120BF" w:rsidRDefault="003120BF" w:rsidP="00D609E6">
            <w:pPr>
              <w:pStyle w:val="Section11"/>
              <w:keepNext/>
              <w:autoSpaceDE w:val="0"/>
              <w:autoSpaceDN w:val="0"/>
              <w:adjustRightInd w:val="0"/>
              <w:jc w:val="both"/>
              <w:rPr>
                <w:rFonts w:ascii="Times New Roman" w:hAnsi="Times New Roman"/>
                <w:szCs w:val="24"/>
              </w:rPr>
            </w:pPr>
          </w:p>
          <w:p w14:paraId="61DA8C6D" w14:textId="77777777" w:rsidR="005370F5" w:rsidRDefault="005370F5" w:rsidP="00D609E6">
            <w:pPr>
              <w:pStyle w:val="Section11"/>
              <w:keepNext/>
              <w:pBdr>
                <w:bottom w:val="single" w:sz="12" w:space="1" w:color="auto"/>
              </w:pBdr>
              <w:autoSpaceDE w:val="0"/>
              <w:autoSpaceDN w:val="0"/>
              <w:adjustRightInd w:val="0"/>
              <w:jc w:val="both"/>
              <w:rPr>
                <w:rFonts w:ascii="Times New Roman" w:hAnsi="Times New Roman"/>
                <w:szCs w:val="24"/>
              </w:rPr>
            </w:pPr>
          </w:p>
          <w:p w14:paraId="184A16C1" w14:textId="014B5E49" w:rsidR="003120BF" w:rsidRDefault="001F594B" w:rsidP="00D609E6">
            <w:pPr>
              <w:pStyle w:val="Section11"/>
              <w:keepNext/>
              <w:autoSpaceDE w:val="0"/>
              <w:autoSpaceDN w:val="0"/>
              <w:adjustRightInd w:val="0"/>
              <w:jc w:val="both"/>
              <w:rPr>
                <w:rFonts w:ascii="Times New Roman" w:hAnsi="Times New Roman"/>
                <w:szCs w:val="24"/>
              </w:rPr>
            </w:pPr>
            <w:r w:rsidRPr="001F594B">
              <w:rPr>
                <w:rFonts w:ascii="Times New Roman" w:hAnsi="Times New Roman"/>
                <w:szCs w:val="24"/>
                <w:highlight w:val="yellow"/>
              </w:rPr>
              <w:t>NAME</w:t>
            </w:r>
          </w:p>
          <w:p w14:paraId="6D57A5D4" w14:textId="77777777" w:rsidR="003120BF" w:rsidRDefault="003120BF" w:rsidP="00D609E6">
            <w:pPr>
              <w:pStyle w:val="Section11"/>
              <w:keepNext/>
              <w:autoSpaceDE w:val="0"/>
              <w:autoSpaceDN w:val="0"/>
              <w:adjustRightInd w:val="0"/>
              <w:jc w:val="both"/>
              <w:rPr>
                <w:rFonts w:ascii="Times New Roman" w:hAnsi="Times New Roman"/>
                <w:szCs w:val="24"/>
              </w:rPr>
            </w:pPr>
          </w:p>
          <w:p w14:paraId="5681AD4D" w14:textId="77777777" w:rsidR="003120BF" w:rsidRDefault="003120BF" w:rsidP="00D609E6">
            <w:pPr>
              <w:pStyle w:val="Section11"/>
              <w:keepNext/>
              <w:autoSpaceDE w:val="0"/>
              <w:autoSpaceDN w:val="0"/>
              <w:adjustRightInd w:val="0"/>
              <w:jc w:val="both"/>
              <w:rPr>
                <w:rFonts w:ascii="Times New Roman" w:hAnsi="Times New Roman"/>
                <w:szCs w:val="24"/>
              </w:rPr>
            </w:pPr>
          </w:p>
          <w:p w14:paraId="16FE0169" w14:textId="77777777" w:rsidR="00384170" w:rsidRDefault="00384170" w:rsidP="00D609E6">
            <w:pPr>
              <w:pStyle w:val="Section11"/>
              <w:keepNext/>
              <w:autoSpaceDE w:val="0"/>
              <w:autoSpaceDN w:val="0"/>
              <w:adjustRightInd w:val="0"/>
              <w:jc w:val="both"/>
              <w:rPr>
                <w:rFonts w:ascii="Times New Roman" w:hAnsi="Times New Roman"/>
                <w:szCs w:val="24"/>
              </w:rPr>
            </w:pPr>
          </w:p>
          <w:p w14:paraId="2988E606" w14:textId="77777777" w:rsidR="00384170" w:rsidRDefault="00384170" w:rsidP="00D609E6">
            <w:pPr>
              <w:pStyle w:val="Section11"/>
              <w:keepNext/>
              <w:autoSpaceDE w:val="0"/>
              <w:autoSpaceDN w:val="0"/>
              <w:adjustRightInd w:val="0"/>
              <w:jc w:val="both"/>
              <w:rPr>
                <w:rFonts w:ascii="Times New Roman" w:hAnsi="Times New Roman"/>
                <w:szCs w:val="24"/>
              </w:rPr>
            </w:pPr>
          </w:p>
          <w:p w14:paraId="03ED3599" w14:textId="77777777" w:rsidR="00384170" w:rsidRPr="00AB6AC5" w:rsidRDefault="00384170" w:rsidP="00D609E6">
            <w:pPr>
              <w:pStyle w:val="Section11"/>
              <w:keepNext/>
              <w:autoSpaceDE w:val="0"/>
              <w:autoSpaceDN w:val="0"/>
              <w:adjustRightInd w:val="0"/>
              <w:jc w:val="both"/>
              <w:rPr>
                <w:rFonts w:ascii="Times New Roman" w:hAnsi="Times New Roman"/>
                <w:szCs w:val="24"/>
              </w:rPr>
            </w:pPr>
          </w:p>
        </w:tc>
      </w:tr>
    </w:tbl>
    <w:p w14:paraId="7ED0A771" w14:textId="77777777" w:rsidR="00CF6B04" w:rsidRDefault="00CF6B04" w:rsidP="00D609E6">
      <w:pPr>
        <w:pStyle w:val="BodyText"/>
      </w:pPr>
    </w:p>
    <w:p w14:paraId="25B48799" w14:textId="77777777" w:rsidR="00CF6B04" w:rsidRDefault="00CF6B04" w:rsidP="00D609E6">
      <w:pPr>
        <w:pStyle w:val="BodyText"/>
      </w:pPr>
    </w:p>
    <w:p w14:paraId="19C2C1A4" w14:textId="77777777" w:rsidR="00D77A29" w:rsidRPr="003D2977" w:rsidRDefault="00D77A29" w:rsidP="00D609E6">
      <w:pPr>
        <w:pStyle w:val="BodyText"/>
        <w:ind w:firstLine="0"/>
      </w:pPr>
    </w:p>
    <w:p w14:paraId="5F8B67E0" w14:textId="77777777" w:rsidR="006E217F" w:rsidRDefault="006E217F" w:rsidP="00D609E6">
      <w:pPr>
        <w:pStyle w:val="Title1"/>
        <w:spacing w:after="240"/>
        <w:jc w:val="both"/>
        <w:rPr>
          <w:rFonts w:ascii="Times New Roman" w:hAnsi="Times New Roman"/>
          <w:szCs w:val="24"/>
          <w:u w:val="single"/>
        </w:rPr>
      </w:pPr>
    </w:p>
    <w:p w14:paraId="021CD82B" w14:textId="77777777" w:rsidR="00CF5068" w:rsidRDefault="00CF5068" w:rsidP="00D609E6">
      <w:pPr>
        <w:pStyle w:val="Title1"/>
        <w:spacing w:after="240"/>
        <w:jc w:val="both"/>
        <w:rPr>
          <w:rFonts w:ascii="Times New Roman" w:hAnsi="Times New Roman"/>
          <w:szCs w:val="24"/>
          <w:u w:val="single"/>
        </w:rPr>
      </w:pPr>
    </w:p>
    <w:p w14:paraId="279D8A4B" w14:textId="77777777" w:rsidR="006E217F" w:rsidRDefault="006E217F" w:rsidP="00D609E6">
      <w:pPr>
        <w:pStyle w:val="Title1"/>
        <w:spacing w:after="240"/>
        <w:jc w:val="both"/>
        <w:rPr>
          <w:rFonts w:ascii="Times New Roman" w:hAnsi="Times New Roman"/>
          <w:szCs w:val="24"/>
          <w:u w:val="single"/>
        </w:rPr>
      </w:pPr>
    </w:p>
    <w:p w14:paraId="61CF1A37" w14:textId="77777777" w:rsidR="003120BF" w:rsidRDefault="003120BF" w:rsidP="00D609E6">
      <w:pPr>
        <w:jc w:val="both"/>
        <w:rPr>
          <w:rFonts w:ascii="Times New Roman" w:eastAsia="Times New Roman" w:hAnsi="Times New Roman" w:cs="Times New Roman"/>
          <w:b/>
          <w:caps/>
          <w:sz w:val="24"/>
          <w:szCs w:val="24"/>
          <w:u w:val="single"/>
        </w:rPr>
      </w:pPr>
      <w:r>
        <w:rPr>
          <w:rFonts w:ascii="Times New Roman" w:hAnsi="Times New Roman"/>
          <w:szCs w:val="24"/>
          <w:u w:val="single"/>
        </w:rPr>
        <w:br w:type="page"/>
      </w:r>
    </w:p>
    <w:p w14:paraId="612D9EF3" w14:textId="77777777" w:rsidR="000C7DCE" w:rsidRPr="00AB6AC5" w:rsidRDefault="000C7DCE" w:rsidP="00A3101B">
      <w:pPr>
        <w:pStyle w:val="Title1"/>
        <w:spacing w:after="240"/>
        <w:rPr>
          <w:rFonts w:ascii="Times New Roman" w:hAnsi="Times New Roman"/>
          <w:szCs w:val="24"/>
          <w:u w:val="single"/>
        </w:rPr>
      </w:pPr>
      <w:r w:rsidRPr="00AB6AC5">
        <w:rPr>
          <w:rFonts w:ascii="Times New Roman" w:hAnsi="Times New Roman"/>
          <w:szCs w:val="24"/>
          <w:u w:val="single"/>
        </w:rPr>
        <w:lastRenderedPageBreak/>
        <w:t>EXHIBIT A</w:t>
      </w:r>
    </w:p>
    <w:p w14:paraId="2E37AA7E" w14:textId="77777777" w:rsidR="000C7DCE" w:rsidRPr="00AB6AC5" w:rsidRDefault="000D3A24" w:rsidP="00A3101B">
      <w:pPr>
        <w:pStyle w:val="Title1"/>
        <w:rPr>
          <w:rFonts w:ascii="Times New Roman" w:hAnsi="Times New Roman"/>
          <w:szCs w:val="24"/>
        </w:rPr>
      </w:pPr>
      <w:r w:rsidRPr="00AB6AC5">
        <w:rPr>
          <w:rFonts w:ascii="Times New Roman" w:hAnsi="Times New Roman"/>
          <w:caps w:val="0"/>
          <w:szCs w:val="24"/>
        </w:rPr>
        <w:t>LIST OF STOCKHOLDERS</w:t>
      </w:r>
    </w:p>
    <w:p w14:paraId="289471ED" w14:textId="77777777" w:rsidR="00CF6145" w:rsidRPr="00AB6AC5" w:rsidRDefault="00CF6145" w:rsidP="00D609E6">
      <w:pPr>
        <w:spacing w:line="240" w:lineRule="auto"/>
        <w:jc w:val="both"/>
        <w:rPr>
          <w:rFonts w:ascii="Times New Roman" w:hAnsi="Times New Roman" w:cs="Times New Roman"/>
          <w:sz w:val="24"/>
          <w:szCs w:val="24"/>
        </w:rPr>
      </w:pPr>
    </w:p>
    <w:tbl>
      <w:tblPr>
        <w:tblW w:w="0" w:type="auto"/>
        <w:jc w:val="center"/>
        <w:tblLayout w:type="fixed"/>
        <w:tblLook w:val="04A0" w:firstRow="1" w:lastRow="0" w:firstColumn="1" w:lastColumn="0" w:noHBand="0" w:noVBand="1"/>
      </w:tblPr>
      <w:tblGrid>
        <w:gridCol w:w="5628"/>
        <w:gridCol w:w="2430"/>
      </w:tblGrid>
      <w:tr w:rsidR="000D3A24" w:rsidRPr="00AB6AC5" w14:paraId="051C780A" w14:textId="77777777" w:rsidTr="00633554">
        <w:trPr>
          <w:cantSplit/>
          <w:jc w:val="center"/>
        </w:trPr>
        <w:tc>
          <w:tcPr>
            <w:tcW w:w="5628" w:type="dxa"/>
            <w:hideMark/>
          </w:tcPr>
          <w:p w14:paraId="61E355E1" w14:textId="77777777" w:rsidR="000D3A24" w:rsidRPr="00AB6AC5" w:rsidRDefault="000D3A24" w:rsidP="00D609E6">
            <w:pPr>
              <w:pStyle w:val="BodyText"/>
              <w:pBdr>
                <w:bottom w:val="single" w:sz="6" w:space="1" w:color="auto"/>
              </w:pBdr>
              <w:spacing w:after="0"/>
              <w:ind w:firstLine="0"/>
              <w:rPr>
                <w:szCs w:val="24"/>
              </w:rPr>
            </w:pPr>
            <w:r w:rsidRPr="00AB6AC5">
              <w:rPr>
                <w:b/>
                <w:szCs w:val="24"/>
              </w:rPr>
              <w:t>Name, Address and E-Mail</w:t>
            </w:r>
          </w:p>
        </w:tc>
        <w:tc>
          <w:tcPr>
            <w:tcW w:w="2430" w:type="dxa"/>
            <w:hideMark/>
          </w:tcPr>
          <w:p w14:paraId="69628F33" w14:textId="77777777" w:rsidR="000D3A24" w:rsidRPr="00AB6AC5" w:rsidRDefault="000D3A24" w:rsidP="00D609E6">
            <w:pPr>
              <w:pStyle w:val="BodyText"/>
              <w:pBdr>
                <w:bottom w:val="single" w:sz="6" w:space="1" w:color="auto"/>
              </w:pBdr>
              <w:spacing w:after="0"/>
              <w:ind w:firstLine="0"/>
              <w:rPr>
                <w:szCs w:val="24"/>
              </w:rPr>
            </w:pPr>
            <w:r w:rsidRPr="00AB6AC5">
              <w:rPr>
                <w:b/>
                <w:szCs w:val="24"/>
              </w:rPr>
              <w:t>Number of Shares</w:t>
            </w:r>
          </w:p>
        </w:tc>
      </w:tr>
      <w:tr w:rsidR="000D3A24" w:rsidRPr="003E47D0" w14:paraId="264EC47C" w14:textId="77777777" w:rsidTr="00633554">
        <w:trPr>
          <w:cantSplit/>
          <w:jc w:val="center"/>
        </w:trPr>
        <w:tc>
          <w:tcPr>
            <w:tcW w:w="5628" w:type="dxa"/>
          </w:tcPr>
          <w:p w14:paraId="3035C950" w14:textId="77777777" w:rsidR="000D3A24" w:rsidRPr="003E47D0" w:rsidRDefault="000D3A24" w:rsidP="00D609E6">
            <w:pPr>
              <w:spacing w:after="0" w:line="240" w:lineRule="auto"/>
              <w:jc w:val="both"/>
              <w:rPr>
                <w:rFonts w:ascii="Times New Roman" w:hAnsi="Times New Roman" w:cs="Times New Roman"/>
                <w:sz w:val="24"/>
                <w:szCs w:val="24"/>
              </w:rPr>
            </w:pPr>
          </w:p>
        </w:tc>
        <w:tc>
          <w:tcPr>
            <w:tcW w:w="2430" w:type="dxa"/>
          </w:tcPr>
          <w:p w14:paraId="1A78C5F3" w14:textId="77777777" w:rsidR="000D3A24" w:rsidRPr="003E47D0" w:rsidRDefault="000D3A24" w:rsidP="00D609E6">
            <w:pPr>
              <w:spacing w:after="0" w:line="240" w:lineRule="auto"/>
              <w:jc w:val="both"/>
              <w:rPr>
                <w:rFonts w:ascii="Times New Roman" w:hAnsi="Times New Roman" w:cs="Times New Roman"/>
                <w:sz w:val="24"/>
                <w:szCs w:val="24"/>
              </w:rPr>
            </w:pPr>
          </w:p>
        </w:tc>
      </w:tr>
      <w:tr w:rsidR="000D3A24" w:rsidRPr="003E47D0" w14:paraId="5B4595E2" w14:textId="77777777" w:rsidTr="00633554">
        <w:trPr>
          <w:cantSplit/>
          <w:jc w:val="center"/>
        </w:trPr>
        <w:tc>
          <w:tcPr>
            <w:tcW w:w="5628" w:type="dxa"/>
          </w:tcPr>
          <w:p w14:paraId="18D00294" w14:textId="6A4082C1" w:rsidR="007F3737" w:rsidRDefault="007F3737" w:rsidP="00D609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[Name]</w:t>
            </w:r>
          </w:p>
          <w:p w14:paraId="136333B4" w14:textId="67433834" w:rsidR="000D3A24" w:rsidRPr="002F1EBE" w:rsidRDefault="000D3A24" w:rsidP="00D609E6">
            <w:pPr>
              <w:spacing w:after="0" w:line="240" w:lineRule="auto"/>
              <w:jc w:val="both"/>
              <w:rPr>
                <w:rFonts w:ascii="Times New Roman" w:hAnsi="Times New Roman" w:cs="Times New Roman"/>
                <w:sz w:val="24"/>
                <w:szCs w:val="24"/>
              </w:rPr>
            </w:pPr>
            <w:r w:rsidRPr="002F1EBE">
              <w:rPr>
                <w:rFonts w:ascii="Times New Roman" w:hAnsi="Times New Roman" w:cs="Times New Roman"/>
                <w:sz w:val="24"/>
                <w:szCs w:val="24"/>
              </w:rPr>
              <w:t>[Address]</w:t>
            </w:r>
          </w:p>
          <w:p w14:paraId="5FC3482C" w14:textId="77777777" w:rsidR="00CF6B04" w:rsidRPr="002F1EBE" w:rsidRDefault="005370F5" w:rsidP="00D609E6">
            <w:pPr>
              <w:spacing w:after="0" w:line="240" w:lineRule="auto"/>
              <w:jc w:val="both"/>
              <w:rPr>
                <w:rFonts w:ascii="Times New Roman" w:hAnsi="Times New Roman" w:cs="Times New Roman"/>
                <w:color w:val="000000"/>
                <w:sz w:val="24"/>
                <w:szCs w:val="24"/>
              </w:rPr>
            </w:pPr>
            <w:r w:rsidRPr="002F1EBE">
              <w:rPr>
                <w:rFonts w:ascii="Times New Roman" w:hAnsi="Times New Roman" w:cs="Times New Roman"/>
                <w:color w:val="000000"/>
                <w:sz w:val="24"/>
                <w:szCs w:val="24"/>
              </w:rPr>
              <w:t>[E-mail]</w:t>
            </w:r>
          </w:p>
          <w:p w14:paraId="61B49A45" w14:textId="77777777" w:rsidR="005370F5" w:rsidRPr="00CF5068" w:rsidRDefault="005370F5" w:rsidP="00D609E6">
            <w:pPr>
              <w:spacing w:after="0" w:line="240" w:lineRule="auto"/>
              <w:jc w:val="both"/>
              <w:rPr>
                <w:rFonts w:ascii="Times New Roman" w:hAnsi="Times New Roman" w:cs="Times New Roman"/>
                <w:color w:val="000000"/>
                <w:sz w:val="24"/>
                <w:szCs w:val="24"/>
                <w:highlight w:val="yellow"/>
              </w:rPr>
            </w:pPr>
          </w:p>
        </w:tc>
        <w:tc>
          <w:tcPr>
            <w:tcW w:w="2430" w:type="dxa"/>
          </w:tcPr>
          <w:p w14:paraId="688F448C" w14:textId="47E5251E" w:rsidR="000D3A24" w:rsidRPr="00CF5068" w:rsidRDefault="000D3A24" w:rsidP="00D609E6">
            <w:pPr>
              <w:spacing w:after="0" w:line="240" w:lineRule="auto"/>
              <w:jc w:val="both"/>
              <w:rPr>
                <w:rFonts w:ascii="Times New Roman" w:hAnsi="Times New Roman" w:cs="Times New Roman"/>
                <w:sz w:val="24"/>
                <w:szCs w:val="24"/>
                <w:highlight w:val="yellow"/>
              </w:rPr>
            </w:pPr>
          </w:p>
        </w:tc>
      </w:tr>
      <w:tr w:rsidR="007F3737" w:rsidRPr="003E47D0" w14:paraId="5CDBFDB6" w14:textId="77777777" w:rsidTr="0064464C">
        <w:trPr>
          <w:cantSplit/>
          <w:jc w:val="center"/>
        </w:trPr>
        <w:tc>
          <w:tcPr>
            <w:tcW w:w="5628" w:type="dxa"/>
          </w:tcPr>
          <w:p w14:paraId="7CB11E5B" w14:textId="77777777" w:rsidR="007F3737" w:rsidRDefault="007F3737" w:rsidP="006446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[Name]</w:t>
            </w:r>
          </w:p>
          <w:p w14:paraId="31E6740F" w14:textId="77777777" w:rsidR="007F3737" w:rsidRPr="002F1EBE" w:rsidRDefault="007F3737" w:rsidP="0064464C">
            <w:pPr>
              <w:spacing w:after="0" w:line="240" w:lineRule="auto"/>
              <w:jc w:val="both"/>
              <w:rPr>
                <w:rFonts w:ascii="Times New Roman" w:hAnsi="Times New Roman" w:cs="Times New Roman"/>
                <w:sz w:val="24"/>
                <w:szCs w:val="24"/>
              </w:rPr>
            </w:pPr>
            <w:r w:rsidRPr="002F1EBE">
              <w:rPr>
                <w:rFonts w:ascii="Times New Roman" w:hAnsi="Times New Roman" w:cs="Times New Roman"/>
                <w:sz w:val="24"/>
                <w:szCs w:val="24"/>
              </w:rPr>
              <w:t>[Address]</w:t>
            </w:r>
          </w:p>
          <w:p w14:paraId="70FF259C" w14:textId="77777777" w:rsidR="007F3737" w:rsidRPr="002F1EBE" w:rsidRDefault="007F3737" w:rsidP="0064464C">
            <w:pPr>
              <w:spacing w:after="0" w:line="240" w:lineRule="auto"/>
              <w:jc w:val="both"/>
              <w:rPr>
                <w:rFonts w:ascii="Times New Roman" w:hAnsi="Times New Roman" w:cs="Times New Roman"/>
                <w:color w:val="000000"/>
                <w:sz w:val="24"/>
                <w:szCs w:val="24"/>
              </w:rPr>
            </w:pPr>
            <w:r w:rsidRPr="002F1EBE">
              <w:rPr>
                <w:rFonts w:ascii="Times New Roman" w:hAnsi="Times New Roman" w:cs="Times New Roman"/>
                <w:color w:val="000000"/>
                <w:sz w:val="24"/>
                <w:szCs w:val="24"/>
              </w:rPr>
              <w:t>[E-mail]</w:t>
            </w:r>
          </w:p>
          <w:p w14:paraId="0752BA6D" w14:textId="77777777" w:rsidR="007F3737" w:rsidRPr="00CF5068" w:rsidRDefault="007F3737" w:rsidP="0064464C">
            <w:pPr>
              <w:spacing w:after="0" w:line="240" w:lineRule="auto"/>
              <w:jc w:val="both"/>
              <w:rPr>
                <w:rFonts w:ascii="Times New Roman" w:hAnsi="Times New Roman" w:cs="Times New Roman"/>
                <w:color w:val="000000"/>
                <w:sz w:val="24"/>
                <w:szCs w:val="24"/>
                <w:highlight w:val="yellow"/>
              </w:rPr>
            </w:pPr>
          </w:p>
        </w:tc>
        <w:tc>
          <w:tcPr>
            <w:tcW w:w="2430" w:type="dxa"/>
          </w:tcPr>
          <w:p w14:paraId="0BC698AE" w14:textId="77777777" w:rsidR="007F3737" w:rsidRPr="00CF5068" w:rsidRDefault="007F3737" w:rsidP="0064464C">
            <w:pPr>
              <w:spacing w:after="0" w:line="240" w:lineRule="auto"/>
              <w:jc w:val="both"/>
              <w:rPr>
                <w:rFonts w:ascii="Times New Roman" w:hAnsi="Times New Roman" w:cs="Times New Roman"/>
                <w:sz w:val="24"/>
                <w:szCs w:val="24"/>
                <w:highlight w:val="yellow"/>
              </w:rPr>
            </w:pPr>
          </w:p>
        </w:tc>
      </w:tr>
      <w:tr w:rsidR="007F3737" w:rsidRPr="003E47D0" w14:paraId="72E67FFC" w14:textId="77777777" w:rsidTr="0064464C">
        <w:trPr>
          <w:cantSplit/>
          <w:jc w:val="center"/>
        </w:trPr>
        <w:tc>
          <w:tcPr>
            <w:tcW w:w="5628" w:type="dxa"/>
          </w:tcPr>
          <w:p w14:paraId="4DA0256D" w14:textId="77777777" w:rsidR="007F3737" w:rsidRDefault="007F3737" w:rsidP="006446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[Name]</w:t>
            </w:r>
          </w:p>
          <w:p w14:paraId="13C899D9" w14:textId="77777777" w:rsidR="007F3737" w:rsidRPr="002F1EBE" w:rsidRDefault="007F3737" w:rsidP="0064464C">
            <w:pPr>
              <w:spacing w:after="0" w:line="240" w:lineRule="auto"/>
              <w:jc w:val="both"/>
              <w:rPr>
                <w:rFonts w:ascii="Times New Roman" w:hAnsi="Times New Roman" w:cs="Times New Roman"/>
                <w:sz w:val="24"/>
                <w:szCs w:val="24"/>
              </w:rPr>
            </w:pPr>
            <w:r w:rsidRPr="002F1EBE">
              <w:rPr>
                <w:rFonts w:ascii="Times New Roman" w:hAnsi="Times New Roman" w:cs="Times New Roman"/>
                <w:sz w:val="24"/>
                <w:szCs w:val="24"/>
              </w:rPr>
              <w:t>[Address]</w:t>
            </w:r>
          </w:p>
          <w:p w14:paraId="11C2DCBF" w14:textId="77777777" w:rsidR="007F3737" w:rsidRPr="002F1EBE" w:rsidRDefault="007F3737" w:rsidP="0064464C">
            <w:pPr>
              <w:spacing w:after="0" w:line="240" w:lineRule="auto"/>
              <w:jc w:val="both"/>
              <w:rPr>
                <w:rFonts w:ascii="Times New Roman" w:hAnsi="Times New Roman" w:cs="Times New Roman"/>
                <w:color w:val="000000"/>
                <w:sz w:val="24"/>
                <w:szCs w:val="24"/>
              </w:rPr>
            </w:pPr>
            <w:r w:rsidRPr="002F1EBE">
              <w:rPr>
                <w:rFonts w:ascii="Times New Roman" w:hAnsi="Times New Roman" w:cs="Times New Roman"/>
                <w:color w:val="000000"/>
                <w:sz w:val="24"/>
                <w:szCs w:val="24"/>
              </w:rPr>
              <w:t>[E-mail]</w:t>
            </w:r>
          </w:p>
          <w:p w14:paraId="7B9B46BA" w14:textId="77777777" w:rsidR="007F3737" w:rsidRPr="00CF5068" w:rsidRDefault="007F3737" w:rsidP="0064464C">
            <w:pPr>
              <w:spacing w:after="0" w:line="240" w:lineRule="auto"/>
              <w:jc w:val="both"/>
              <w:rPr>
                <w:rFonts w:ascii="Times New Roman" w:hAnsi="Times New Roman" w:cs="Times New Roman"/>
                <w:color w:val="000000"/>
                <w:sz w:val="24"/>
                <w:szCs w:val="24"/>
                <w:highlight w:val="yellow"/>
              </w:rPr>
            </w:pPr>
          </w:p>
        </w:tc>
        <w:tc>
          <w:tcPr>
            <w:tcW w:w="2430" w:type="dxa"/>
          </w:tcPr>
          <w:p w14:paraId="0EF54862" w14:textId="77777777" w:rsidR="007F3737" w:rsidRPr="00CF5068" w:rsidRDefault="007F3737" w:rsidP="0064464C">
            <w:pPr>
              <w:spacing w:after="0" w:line="240" w:lineRule="auto"/>
              <w:jc w:val="both"/>
              <w:rPr>
                <w:rFonts w:ascii="Times New Roman" w:hAnsi="Times New Roman" w:cs="Times New Roman"/>
                <w:sz w:val="24"/>
                <w:szCs w:val="24"/>
                <w:highlight w:val="yellow"/>
              </w:rPr>
            </w:pPr>
          </w:p>
        </w:tc>
      </w:tr>
      <w:tr w:rsidR="007F3737" w:rsidRPr="003E47D0" w14:paraId="4BFD7514" w14:textId="77777777" w:rsidTr="0064464C">
        <w:trPr>
          <w:cantSplit/>
          <w:jc w:val="center"/>
        </w:trPr>
        <w:tc>
          <w:tcPr>
            <w:tcW w:w="5628" w:type="dxa"/>
          </w:tcPr>
          <w:p w14:paraId="0FC8E315" w14:textId="77777777" w:rsidR="007F3737" w:rsidRDefault="007F3737" w:rsidP="006446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[Name]</w:t>
            </w:r>
          </w:p>
          <w:p w14:paraId="28BC4BE9" w14:textId="77777777" w:rsidR="007F3737" w:rsidRPr="002F1EBE" w:rsidRDefault="007F3737" w:rsidP="0064464C">
            <w:pPr>
              <w:spacing w:after="0" w:line="240" w:lineRule="auto"/>
              <w:jc w:val="both"/>
              <w:rPr>
                <w:rFonts w:ascii="Times New Roman" w:hAnsi="Times New Roman" w:cs="Times New Roman"/>
                <w:sz w:val="24"/>
                <w:szCs w:val="24"/>
              </w:rPr>
            </w:pPr>
            <w:r w:rsidRPr="002F1EBE">
              <w:rPr>
                <w:rFonts w:ascii="Times New Roman" w:hAnsi="Times New Roman" w:cs="Times New Roman"/>
                <w:sz w:val="24"/>
                <w:szCs w:val="24"/>
              </w:rPr>
              <w:t>[Address]</w:t>
            </w:r>
          </w:p>
          <w:p w14:paraId="5AB8F4B9" w14:textId="77777777" w:rsidR="007F3737" w:rsidRPr="002F1EBE" w:rsidRDefault="007F3737" w:rsidP="0064464C">
            <w:pPr>
              <w:spacing w:after="0" w:line="240" w:lineRule="auto"/>
              <w:jc w:val="both"/>
              <w:rPr>
                <w:rFonts w:ascii="Times New Roman" w:hAnsi="Times New Roman" w:cs="Times New Roman"/>
                <w:color w:val="000000"/>
                <w:sz w:val="24"/>
                <w:szCs w:val="24"/>
              </w:rPr>
            </w:pPr>
            <w:r w:rsidRPr="002F1EBE">
              <w:rPr>
                <w:rFonts w:ascii="Times New Roman" w:hAnsi="Times New Roman" w:cs="Times New Roman"/>
                <w:color w:val="000000"/>
                <w:sz w:val="24"/>
                <w:szCs w:val="24"/>
              </w:rPr>
              <w:t>[E-mail]</w:t>
            </w:r>
          </w:p>
          <w:p w14:paraId="04913733" w14:textId="77777777" w:rsidR="007F3737" w:rsidRPr="00CF5068" w:rsidRDefault="007F3737" w:rsidP="0064464C">
            <w:pPr>
              <w:spacing w:after="0" w:line="240" w:lineRule="auto"/>
              <w:jc w:val="both"/>
              <w:rPr>
                <w:rFonts w:ascii="Times New Roman" w:hAnsi="Times New Roman" w:cs="Times New Roman"/>
                <w:color w:val="000000"/>
                <w:sz w:val="24"/>
                <w:szCs w:val="24"/>
                <w:highlight w:val="yellow"/>
              </w:rPr>
            </w:pPr>
          </w:p>
        </w:tc>
        <w:tc>
          <w:tcPr>
            <w:tcW w:w="2430" w:type="dxa"/>
          </w:tcPr>
          <w:p w14:paraId="51FF58C6" w14:textId="77777777" w:rsidR="007F3737" w:rsidRPr="00CF5068" w:rsidRDefault="007F3737" w:rsidP="0064464C">
            <w:pPr>
              <w:spacing w:after="0" w:line="240" w:lineRule="auto"/>
              <w:jc w:val="both"/>
              <w:rPr>
                <w:rFonts w:ascii="Times New Roman" w:hAnsi="Times New Roman" w:cs="Times New Roman"/>
                <w:sz w:val="24"/>
                <w:szCs w:val="24"/>
                <w:highlight w:val="yellow"/>
              </w:rPr>
            </w:pPr>
          </w:p>
        </w:tc>
      </w:tr>
      <w:tr w:rsidR="007F3737" w:rsidRPr="003E47D0" w14:paraId="027E982A" w14:textId="77777777" w:rsidTr="0064464C">
        <w:trPr>
          <w:cantSplit/>
          <w:jc w:val="center"/>
        </w:trPr>
        <w:tc>
          <w:tcPr>
            <w:tcW w:w="5628" w:type="dxa"/>
          </w:tcPr>
          <w:p w14:paraId="05A2A268" w14:textId="77777777" w:rsidR="007F3737" w:rsidRDefault="007F3737" w:rsidP="0064464C">
            <w:pPr>
              <w:spacing w:after="0" w:line="240" w:lineRule="auto"/>
              <w:jc w:val="both"/>
              <w:rPr>
                <w:rFonts w:ascii="Times New Roman" w:hAnsi="Times New Roman" w:cs="Times New Roman"/>
                <w:sz w:val="24"/>
                <w:szCs w:val="24"/>
              </w:rPr>
            </w:pPr>
          </w:p>
        </w:tc>
        <w:tc>
          <w:tcPr>
            <w:tcW w:w="2430" w:type="dxa"/>
          </w:tcPr>
          <w:p w14:paraId="4B3D1C97" w14:textId="77777777" w:rsidR="007F3737" w:rsidRPr="00CF5068" w:rsidRDefault="007F3737" w:rsidP="0064464C">
            <w:pPr>
              <w:spacing w:after="0" w:line="240" w:lineRule="auto"/>
              <w:jc w:val="both"/>
              <w:rPr>
                <w:rFonts w:ascii="Times New Roman" w:hAnsi="Times New Roman" w:cs="Times New Roman"/>
                <w:sz w:val="24"/>
                <w:szCs w:val="24"/>
                <w:highlight w:val="yellow"/>
              </w:rPr>
            </w:pPr>
          </w:p>
        </w:tc>
      </w:tr>
      <w:tr w:rsidR="007F3737" w:rsidRPr="003E47D0" w14:paraId="32BFA1DB" w14:textId="77777777" w:rsidTr="00633554">
        <w:trPr>
          <w:cantSplit/>
          <w:jc w:val="center"/>
        </w:trPr>
        <w:tc>
          <w:tcPr>
            <w:tcW w:w="5628" w:type="dxa"/>
          </w:tcPr>
          <w:p w14:paraId="611CE955" w14:textId="77777777" w:rsidR="007F3737" w:rsidRDefault="007F3737" w:rsidP="00D609E6">
            <w:pPr>
              <w:spacing w:after="0" w:line="240" w:lineRule="auto"/>
              <w:jc w:val="both"/>
              <w:rPr>
                <w:rFonts w:ascii="Times New Roman" w:hAnsi="Times New Roman" w:cs="Times New Roman"/>
                <w:sz w:val="24"/>
                <w:szCs w:val="24"/>
              </w:rPr>
            </w:pPr>
          </w:p>
        </w:tc>
        <w:tc>
          <w:tcPr>
            <w:tcW w:w="2430" w:type="dxa"/>
          </w:tcPr>
          <w:p w14:paraId="2D30587E" w14:textId="77777777" w:rsidR="007F3737" w:rsidRPr="00CF5068" w:rsidRDefault="007F3737" w:rsidP="00D609E6">
            <w:pPr>
              <w:spacing w:after="0" w:line="240" w:lineRule="auto"/>
              <w:jc w:val="both"/>
              <w:rPr>
                <w:rFonts w:ascii="Times New Roman" w:hAnsi="Times New Roman" w:cs="Times New Roman"/>
                <w:sz w:val="24"/>
                <w:szCs w:val="24"/>
                <w:highlight w:val="yellow"/>
              </w:rPr>
            </w:pPr>
          </w:p>
        </w:tc>
      </w:tr>
      <w:tr w:rsidR="002621C2" w:rsidRPr="005370F5" w14:paraId="0636DA8E" w14:textId="77777777" w:rsidTr="00633554">
        <w:trPr>
          <w:cantSplit/>
          <w:trHeight w:val="279"/>
          <w:jc w:val="center"/>
        </w:trPr>
        <w:tc>
          <w:tcPr>
            <w:tcW w:w="5628" w:type="dxa"/>
          </w:tcPr>
          <w:p w14:paraId="68C0AC26" w14:textId="77777777" w:rsidR="002621C2" w:rsidRDefault="002621C2" w:rsidP="00D609E6">
            <w:pPr>
              <w:spacing w:after="0" w:line="240" w:lineRule="auto"/>
              <w:jc w:val="both"/>
              <w:rPr>
                <w:rFonts w:ascii="Times New Roman" w:hAnsi="Times New Roman" w:cs="Times New Roman"/>
                <w:sz w:val="24"/>
                <w:szCs w:val="24"/>
              </w:rPr>
            </w:pPr>
          </w:p>
        </w:tc>
        <w:tc>
          <w:tcPr>
            <w:tcW w:w="2430" w:type="dxa"/>
          </w:tcPr>
          <w:p w14:paraId="429917E7" w14:textId="77777777" w:rsidR="002621C2" w:rsidRDefault="002621C2" w:rsidP="00D609E6">
            <w:pPr>
              <w:spacing w:after="0" w:line="240" w:lineRule="auto"/>
              <w:jc w:val="both"/>
              <w:rPr>
                <w:rFonts w:ascii="Times New Roman" w:hAnsi="Times New Roman" w:cs="Times New Roman"/>
                <w:sz w:val="24"/>
                <w:szCs w:val="24"/>
              </w:rPr>
            </w:pPr>
          </w:p>
        </w:tc>
      </w:tr>
    </w:tbl>
    <w:p w14:paraId="016B20B4" w14:textId="77777777" w:rsidR="00CF6145" w:rsidRPr="005370F5" w:rsidRDefault="00CF6145" w:rsidP="00D609E6">
      <w:pPr>
        <w:pStyle w:val="BodyText"/>
        <w:ind w:firstLine="0"/>
        <w:rPr>
          <w:szCs w:val="24"/>
        </w:rPr>
      </w:pPr>
    </w:p>
    <w:sectPr w:rsidR="00CF6145" w:rsidRPr="005370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D8F02" w14:textId="77777777" w:rsidR="00624BE0" w:rsidRDefault="00624BE0" w:rsidP="00CF6145">
      <w:pPr>
        <w:spacing w:after="0" w:line="240" w:lineRule="auto"/>
      </w:pPr>
      <w:r>
        <w:separator/>
      </w:r>
    </w:p>
  </w:endnote>
  <w:endnote w:type="continuationSeparator" w:id="0">
    <w:p w14:paraId="3E666885" w14:textId="77777777" w:rsidR="00624BE0" w:rsidRDefault="00624BE0" w:rsidP="00CF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rmal text)">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auto"/>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53755" w14:textId="77777777" w:rsidR="00B329AF" w:rsidRDefault="00B329AF" w:rsidP="000C7DC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7DABC" w14:textId="77777777" w:rsidR="00624BE0" w:rsidRDefault="00624BE0" w:rsidP="00CF6145">
      <w:pPr>
        <w:spacing w:after="0" w:line="240" w:lineRule="auto"/>
      </w:pPr>
      <w:r>
        <w:separator/>
      </w:r>
    </w:p>
  </w:footnote>
  <w:footnote w:type="continuationSeparator" w:id="0">
    <w:p w14:paraId="416F23E0" w14:textId="77777777" w:rsidR="00624BE0" w:rsidRDefault="00624BE0" w:rsidP="00CF6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6CCC3" w14:textId="77777777" w:rsidR="00B329AF" w:rsidRDefault="00B32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D0560AEA"/>
    <w:lvl w:ilvl="0">
      <w:start w:val="1"/>
      <w:numFmt w:val="decimal"/>
      <w:pStyle w:val="Heading1"/>
      <w:lvlText w:val="%1."/>
      <w:lvlJc w:val="left"/>
      <w:pPr>
        <w:tabs>
          <w:tab w:val="num" w:pos="0"/>
        </w:tabs>
        <w:ind w:left="0" w:firstLine="720"/>
      </w:pPr>
      <w:rPr>
        <w:rFonts w:ascii="Times New Roman" w:hAnsi="Times New Roman" w:hint="default"/>
        <w:b w:val="0"/>
        <w:i w:val="0"/>
        <w:color w:val="auto"/>
        <w:sz w:val="24"/>
        <w:szCs w:val="24"/>
        <w:u w:val="none"/>
      </w:rPr>
    </w:lvl>
    <w:lvl w:ilvl="1">
      <w:start w:val="1"/>
      <w:numFmt w:val="decimal"/>
      <w:pStyle w:val="Heading2"/>
      <w:lvlText w:val="%1.%2"/>
      <w:lvlJc w:val="left"/>
      <w:pPr>
        <w:tabs>
          <w:tab w:val="num" w:pos="0"/>
        </w:tabs>
        <w:ind w:left="0" w:firstLine="1440"/>
      </w:pPr>
      <w:rPr>
        <w:rFonts w:ascii="Times New Roman" w:hAnsi="Times New Roman" w:hint="default"/>
        <w:b w:val="0"/>
        <w:i w:val="0"/>
        <w:color w:val="auto"/>
        <w:sz w:val="24"/>
        <w:szCs w:val="24"/>
        <w:u w:val="none"/>
      </w:rPr>
    </w:lvl>
    <w:lvl w:ilvl="2">
      <w:start w:val="1"/>
      <w:numFmt w:val="lowerLetter"/>
      <w:pStyle w:val="Heading3"/>
      <w:lvlText w:val="(%3)"/>
      <w:lvlJc w:val="left"/>
      <w:pPr>
        <w:tabs>
          <w:tab w:val="num" w:pos="0"/>
        </w:tabs>
        <w:ind w:left="0" w:firstLine="2160"/>
      </w:pPr>
      <w:rPr>
        <w:rFonts w:ascii="Times New Roman" w:hAnsi="Times New Roman" w:hint="default"/>
        <w:b w:val="0"/>
        <w:i w:val="0"/>
        <w:color w:val="auto"/>
        <w:sz w:val="24"/>
        <w:szCs w:val="24"/>
        <w:u w:val="none"/>
      </w:rPr>
    </w:lvl>
    <w:lvl w:ilvl="3">
      <w:start w:val="1"/>
      <w:numFmt w:val="lowerRoman"/>
      <w:pStyle w:val="Heading4"/>
      <w:lvlText w:val="(%4)"/>
      <w:lvlJc w:val="left"/>
      <w:pPr>
        <w:tabs>
          <w:tab w:val="num" w:pos="0"/>
        </w:tabs>
        <w:ind w:left="0" w:firstLine="2880"/>
      </w:pPr>
      <w:rPr>
        <w:rFonts w:ascii="Times New Roman" w:hAnsi="Times New Roman" w:hint="default"/>
        <w:b w:val="0"/>
        <w:i w:val="0"/>
        <w:color w:val="auto"/>
        <w:sz w:val="24"/>
        <w:szCs w:val="24"/>
        <w:u w:val="none"/>
      </w:rPr>
    </w:lvl>
    <w:lvl w:ilvl="4">
      <w:start w:val="1"/>
      <w:numFmt w:val="upperLetter"/>
      <w:lvlText w:val="%5."/>
      <w:lvlJc w:val="left"/>
      <w:pPr>
        <w:tabs>
          <w:tab w:val="num" w:pos="0"/>
        </w:tabs>
        <w:ind w:left="0" w:firstLine="4320"/>
      </w:pPr>
      <w:rPr>
        <w:rFonts w:ascii="Times New Roman" w:hAnsi="Times New Roman" w:hint="default"/>
        <w:b w:val="0"/>
        <w:i w:val="0"/>
        <w:color w:val="auto"/>
        <w:sz w:val="24"/>
        <w:szCs w:val="24"/>
        <w:u w:val="none"/>
      </w:rPr>
    </w:lvl>
    <w:lvl w:ilvl="5">
      <w:start w:val="1"/>
      <w:numFmt w:val="decimal"/>
      <w:lvlText w:val="%1.%6"/>
      <w:lvlJc w:val="left"/>
      <w:pPr>
        <w:tabs>
          <w:tab w:val="num" w:pos="0"/>
        </w:tabs>
        <w:ind w:left="0" w:firstLine="1440"/>
      </w:pPr>
      <w:rPr>
        <w:rFonts w:ascii="Times New Roman" w:hAnsi="Times New Roman" w:hint="default"/>
        <w:b w:val="0"/>
        <w:i w:val="0"/>
        <w:color w:val="auto"/>
        <w:sz w:val="24"/>
        <w:szCs w:val="24"/>
        <w:u w:val="none"/>
      </w:rPr>
    </w:lvl>
    <w:lvl w:ilvl="6">
      <w:start w:val="1"/>
      <w:numFmt w:val="lowerRoman"/>
      <w:lvlText w:val="(%7)"/>
      <w:lvlJc w:val="left"/>
      <w:pPr>
        <w:tabs>
          <w:tab w:val="num" w:pos="0"/>
        </w:tabs>
        <w:ind w:left="0" w:firstLine="5760"/>
      </w:pPr>
      <w:rPr>
        <w:rFonts w:ascii="Times New Roman" w:hAnsi="Times New Roman" w:hint="default"/>
        <w:b w:val="0"/>
        <w:i w:val="0"/>
        <w:color w:val="auto"/>
        <w:sz w:val="24"/>
        <w:szCs w:val="24"/>
        <w:u w:val="none"/>
      </w:rPr>
    </w:lvl>
    <w:lvl w:ilvl="7">
      <w:start w:val="1"/>
      <w:numFmt w:val="lowerLetter"/>
      <w:lvlText w:val="(%8)"/>
      <w:lvlJc w:val="left"/>
      <w:pPr>
        <w:tabs>
          <w:tab w:val="num" w:pos="0"/>
        </w:tabs>
        <w:ind w:left="0" w:firstLine="6480"/>
      </w:pPr>
      <w:rPr>
        <w:rFonts w:ascii="Times New Roman" w:hAnsi="Times New Roman" w:hint="default"/>
        <w:b w:val="0"/>
        <w:i w:val="0"/>
        <w:color w:val="auto"/>
        <w:sz w:val="24"/>
        <w:szCs w:val="24"/>
        <w:u w:val="none"/>
      </w:rPr>
    </w:lvl>
    <w:lvl w:ilvl="8">
      <w:start w:val="1"/>
      <w:numFmt w:val="lowerRoman"/>
      <w:lvlText w:val="(%9)"/>
      <w:lvlJc w:val="left"/>
      <w:pPr>
        <w:tabs>
          <w:tab w:val="num" w:pos="0"/>
        </w:tabs>
        <w:ind w:left="0" w:firstLine="7200"/>
      </w:pPr>
      <w:rPr>
        <w:rFonts w:ascii="Times New Roman" w:hAnsi="Times New Roman" w:hint="default"/>
        <w:b w:val="0"/>
        <w:i w:val="0"/>
        <w:color w:val="auto"/>
        <w:sz w:val="24"/>
        <w:szCs w:val="24"/>
        <w:u w:val="none"/>
      </w:rPr>
    </w:lvl>
  </w:abstractNum>
  <w:abstractNum w:abstractNumId="1" w15:restartNumberingAfterBreak="0">
    <w:nsid w:val="00000001"/>
    <w:multiLevelType w:val="multilevel"/>
    <w:tmpl w:val="92BA84EE"/>
    <w:lvl w:ilvl="0">
      <w:start w:val="1"/>
      <w:numFmt w:val="decimal"/>
      <w:suff w:val="nothing"/>
      <w:lvlText w:val="Section %1"/>
      <w:lvlJc w:val="left"/>
      <w:pPr>
        <w:ind w:left="7830"/>
      </w:pPr>
      <w:rPr>
        <w:rFonts w:cs="Times New Roman" w:hint="eastAsia"/>
        <w:b/>
        <w:i w:val="0"/>
        <w:u w:val="none"/>
      </w:rPr>
    </w:lvl>
    <w:lvl w:ilvl="1">
      <w:start w:val="1"/>
      <w:numFmt w:val="decimal"/>
      <w:isLgl/>
      <w:lvlText w:val="%1.%2"/>
      <w:lvlJc w:val="left"/>
      <w:pPr>
        <w:tabs>
          <w:tab w:val="num" w:pos="1080"/>
        </w:tabs>
        <w:ind w:firstLine="720"/>
      </w:pPr>
      <w:rPr>
        <w:rFonts w:cs="Times New Roman" w:hint="eastAsia"/>
        <w:b/>
        <w:u w:val="none"/>
      </w:rPr>
    </w:lvl>
    <w:lvl w:ilvl="2">
      <w:start w:val="1"/>
      <w:numFmt w:val="lowerLetter"/>
      <w:lvlText w:val="(%3)"/>
      <w:lvlJc w:val="left"/>
      <w:pPr>
        <w:tabs>
          <w:tab w:val="num" w:pos="1800"/>
        </w:tabs>
        <w:ind w:firstLine="1440"/>
      </w:pPr>
      <w:rPr>
        <w:rFonts w:cs="Times New Roman" w:hint="eastAsia"/>
        <w:u w:val="none"/>
      </w:rPr>
    </w:lvl>
    <w:lvl w:ilvl="3">
      <w:start w:val="1"/>
      <w:numFmt w:val="lowerRoman"/>
      <w:lvlText w:val="(%4)"/>
      <w:lvlJc w:val="right"/>
      <w:pPr>
        <w:tabs>
          <w:tab w:val="num" w:pos="2780"/>
        </w:tabs>
        <w:ind w:firstLine="2520"/>
      </w:pPr>
      <w:rPr>
        <w:rFonts w:cs="Times New Roman" w:hint="eastAsia"/>
        <w:u w:val="none"/>
      </w:rPr>
    </w:lvl>
    <w:lvl w:ilvl="4">
      <w:start w:val="1"/>
      <w:numFmt w:val="upperLetter"/>
      <w:lvlText w:val="(%5)"/>
      <w:lvlJc w:val="left"/>
      <w:pPr>
        <w:tabs>
          <w:tab w:val="num" w:pos="3240"/>
        </w:tabs>
        <w:ind w:firstLine="2880"/>
      </w:pPr>
      <w:rPr>
        <w:rFonts w:cs="Times New Roman" w:hint="eastAsia"/>
        <w:u w:val="none"/>
      </w:rPr>
    </w:lvl>
    <w:lvl w:ilvl="5">
      <w:start w:val="1"/>
      <w:numFmt w:val="lowerLetter"/>
      <w:lvlText w:val="%6)"/>
      <w:lvlJc w:val="left"/>
      <w:pPr>
        <w:tabs>
          <w:tab w:val="num" w:pos="3960"/>
        </w:tabs>
        <w:ind w:firstLine="3600"/>
      </w:pPr>
      <w:rPr>
        <w:rFonts w:cs="Times New Roman" w:hint="eastAsia"/>
        <w:u w:val="none"/>
      </w:rPr>
    </w:lvl>
    <w:lvl w:ilvl="6">
      <w:start w:val="1"/>
      <w:numFmt w:val="lowerRoman"/>
      <w:lvlText w:val="%7)"/>
      <w:lvlJc w:val="right"/>
      <w:pPr>
        <w:tabs>
          <w:tab w:val="num" w:pos="5040"/>
        </w:tabs>
        <w:ind w:firstLine="4680"/>
      </w:pPr>
      <w:rPr>
        <w:rFonts w:cs="Times New Roman" w:hint="eastAsia"/>
        <w:u w:val="none"/>
      </w:rPr>
    </w:lvl>
    <w:lvl w:ilvl="7">
      <w:start w:val="1"/>
      <w:numFmt w:val="decimal"/>
      <w:lvlText w:val="%8)"/>
      <w:lvlJc w:val="left"/>
      <w:pPr>
        <w:tabs>
          <w:tab w:val="num" w:pos="5400"/>
        </w:tabs>
        <w:ind w:firstLine="5040"/>
      </w:pPr>
      <w:rPr>
        <w:rFonts w:cs="Times New Roman" w:hint="eastAsia"/>
        <w:u w:val="none"/>
      </w:rPr>
    </w:lvl>
    <w:lvl w:ilvl="8">
      <w:start w:val="1"/>
      <w:numFmt w:val="lowerRoman"/>
      <w:lvlText w:val="%9."/>
      <w:lvlJc w:val="right"/>
      <w:pPr>
        <w:tabs>
          <w:tab w:val="num" w:pos="1584"/>
        </w:tabs>
        <w:ind w:left="1584" w:hanging="144"/>
      </w:pPr>
      <w:rPr>
        <w:rFonts w:cs="Times New Roman" w:hint="eastAsia"/>
        <w:u w:val="none"/>
      </w:rPr>
    </w:lvl>
  </w:abstractNum>
  <w:abstractNum w:abstractNumId="2" w15:restartNumberingAfterBreak="0">
    <w:nsid w:val="0000000A"/>
    <w:multiLevelType w:val="multilevel"/>
    <w:tmpl w:val="396E82C0"/>
    <w:lvl w:ilvl="0">
      <w:start w:val="5"/>
      <w:numFmt w:val="decimal"/>
      <w:lvlText w:val="%1."/>
      <w:lvlJc w:val="left"/>
      <w:pPr>
        <w:tabs>
          <w:tab w:val="num" w:pos="1170"/>
        </w:tabs>
        <w:ind w:firstLine="720"/>
      </w:pPr>
      <w:rPr>
        <w:rFonts w:ascii="Times New Roman" w:hAnsi="Times New Roman" w:cs="Times New Roman" w:hint="default"/>
        <w:b w:val="0"/>
        <w:i w:val="0"/>
        <w:color w:val="auto"/>
        <w:spacing w:val="0"/>
        <w:sz w:val="24"/>
        <w:szCs w:val="24"/>
      </w:rPr>
    </w:lvl>
    <w:lvl w:ilvl="1">
      <w:start w:val="1"/>
      <w:numFmt w:val="decimal"/>
      <w:isLgl/>
      <w:lvlText w:val="%1.%2"/>
      <w:lvlJc w:val="left"/>
      <w:pPr>
        <w:tabs>
          <w:tab w:val="num" w:pos="1890"/>
        </w:tabs>
        <w:ind w:firstLine="1440"/>
      </w:pPr>
      <w:rPr>
        <w:rFonts w:ascii="Times New Roman" w:hAnsi="Times New Roman" w:cs="Times New Roman" w:hint="default"/>
        <w:b w:val="0"/>
        <w:i w:val="0"/>
        <w:color w:val="000000"/>
        <w:spacing w:val="0"/>
        <w:sz w:val="24"/>
        <w:szCs w:val="24"/>
        <w:u w:val="none"/>
      </w:rPr>
    </w:lvl>
    <w:lvl w:ilvl="2">
      <w:start w:val="1"/>
      <w:numFmt w:val="lowerLetter"/>
      <w:lvlText w:val="(%3)"/>
      <w:lvlJc w:val="left"/>
      <w:pPr>
        <w:tabs>
          <w:tab w:val="num" w:pos="2610"/>
        </w:tabs>
        <w:ind w:firstLine="2160"/>
      </w:pPr>
      <w:rPr>
        <w:rFonts w:ascii="Times New Roman" w:hAnsi="Times New Roman" w:cs="Times New Roman" w:hint="default"/>
        <w:b w:val="0"/>
        <w:i w:val="0"/>
        <w:color w:val="auto"/>
        <w:spacing w:val="0"/>
        <w:sz w:val="24"/>
        <w:szCs w:val="24"/>
        <w:u w:val="none"/>
      </w:rPr>
    </w:lvl>
    <w:lvl w:ilvl="3">
      <w:start w:val="1"/>
      <w:numFmt w:val="lowerRoman"/>
      <w:lvlText w:val="(%4)"/>
      <w:lvlJc w:val="left"/>
      <w:pPr>
        <w:tabs>
          <w:tab w:val="num" w:pos="3690"/>
        </w:tabs>
        <w:ind w:firstLine="2880"/>
      </w:pPr>
      <w:rPr>
        <w:rFonts w:ascii="Times New Roman" w:hAnsi="Times New Roman" w:cs="Times New Roman" w:hint="default"/>
        <w:b w:val="0"/>
        <w:i w:val="0"/>
        <w:color w:val="auto"/>
        <w:spacing w:val="0"/>
        <w:sz w:val="24"/>
        <w:szCs w:val="24"/>
        <w:u w:val="none"/>
      </w:rPr>
    </w:lvl>
    <w:lvl w:ilvl="4">
      <w:start w:val="1"/>
      <w:numFmt w:val="lowerLetter"/>
      <w:lvlText w:val="(%5)"/>
      <w:lvlJc w:val="left"/>
      <w:pPr>
        <w:tabs>
          <w:tab w:val="num" w:pos="1890"/>
        </w:tabs>
        <w:ind w:left="1890" w:hanging="360"/>
      </w:pPr>
      <w:rPr>
        <w:rFonts w:cs="Times New Roman" w:hint="eastAsia"/>
        <w:spacing w:val="0"/>
      </w:rPr>
    </w:lvl>
    <w:lvl w:ilvl="5">
      <w:start w:val="1"/>
      <w:numFmt w:val="lowerRoman"/>
      <w:lvlText w:val="(%6)"/>
      <w:lvlJc w:val="left"/>
      <w:pPr>
        <w:tabs>
          <w:tab w:val="num" w:pos="2250"/>
        </w:tabs>
        <w:ind w:left="2250" w:hanging="360"/>
      </w:pPr>
      <w:rPr>
        <w:rFonts w:cs="Times New Roman" w:hint="eastAsia"/>
        <w:spacing w:val="0"/>
      </w:rPr>
    </w:lvl>
    <w:lvl w:ilvl="6">
      <w:start w:val="1"/>
      <w:numFmt w:val="decimal"/>
      <w:lvlText w:val="%7."/>
      <w:lvlJc w:val="left"/>
      <w:pPr>
        <w:tabs>
          <w:tab w:val="num" w:pos="2610"/>
        </w:tabs>
        <w:ind w:left="2610" w:hanging="360"/>
      </w:pPr>
      <w:rPr>
        <w:rFonts w:cs="Times New Roman" w:hint="eastAsia"/>
        <w:spacing w:val="0"/>
      </w:rPr>
    </w:lvl>
    <w:lvl w:ilvl="7">
      <w:start w:val="1"/>
      <w:numFmt w:val="lowerLetter"/>
      <w:lvlText w:val="%8."/>
      <w:lvlJc w:val="left"/>
      <w:pPr>
        <w:tabs>
          <w:tab w:val="num" w:pos="2970"/>
        </w:tabs>
        <w:ind w:left="2970" w:hanging="360"/>
      </w:pPr>
      <w:rPr>
        <w:rFonts w:cs="Times New Roman" w:hint="eastAsia"/>
        <w:spacing w:val="0"/>
      </w:rPr>
    </w:lvl>
    <w:lvl w:ilvl="8">
      <w:start w:val="1"/>
      <w:numFmt w:val="lowerRoman"/>
      <w:lvlText w:val="%9."/>
      <w:lvlJc w:val="left"/>
      <w:pPr>
        <w:tabs>
          <w:tab w:val="num" w:pos="3330"/>
        </w:tabs>
        <w:ind w:left="3330" w:hanging="360"/>
      </w:pPr>
      <w:rPr>
        <w:rFonts w:cs="Times New Roman" w:hint="eastAsia"/>
        <w:spacing w:val="0"/>
      </w:rPr>
    </w:lvl>
  </w:abstractNum>
  <w:abstractNum w:abstractNumId="3" w15:restartNumberingAfterBreak="0">
    <w:nsid w:val="00000010"/>
    <w:multiLevelType w:val="multilevel"/>
    <w:tmpl w:val="6D12E036"/>
    <w:lvl w:ilvl="0">
      <w:start w:val="1"/>
      <w:numFmt w:val="upperRoman"/>
      <w:lvlText w:val="%1."/>
      <w:lvlJc w:val="left"/>
      <w:pPr>
        <w:tabs>
          <w:tab w:val="num" w:pos="720"/>
        </w:tabs>
      </w:pPr>
      <w:rPr>
        <w:rFonts w:cs="Times New Roman" w:hint="eastAsia"/>
        <w:spacing w:val="0"/>
      </w:rPr>
    </w:lvl>
    <w:lvl w:ilvl="1">
      <w:start w:val="1"/>
      <w:numFmt w:val="upperLetter"/>
      <w:lvlText w:val="%2."/>
      <w:lvlJc w:val="left"/>
      <w:pPr>
        <w:tabs>
          <w:tab w:val="num" w:pos="1080"/>
        </w:tabs>
        <w:ind w:left="720"/>
      </w:pPr>
      <w:rPr>
        <w:rFonts w:cs="Times New Roman" w:hint="eastAsia"/>
        <w:spacing w:val="0"/>
      </w:rPr>
    </w:lvl>
    <w:lvl w:ilvl="2">
      <w:start w:val="1"/>
      <w:numFmt w:val="decimal"/>
      <w:lvlText w:val="%3."/>
      <w:lvlJc w:val="left"/>
      <w:pPr>
        <w:tabs>
          <w:tab w:val="num" w:pos="1800"/>
        </w:tabs>
        <w:ind w:left="1440"/>
      </w:pPr>
      <w:rPr>
        <w:rFonts w:cs="Times New Roman" w:hint="eastAsia"/>
        <w:spacing w:val="0"/>
      </w:rPr>
    </w:lvl>
    <w:lvl w:ilvl="3">
      <w:start w:val="1"/>
      <w:numFmt w:val="lowerLetter"/>
      <w:lvlText w:val="%4)"/>
      <w:lvlJc w:val="left"/>
      <w:pPr>
        <w:tabs>
          <w:tab w:val="num" w:pos="2520"/>
        </w:tabs>
        <w:ind w:left="2160"/>
      </w:pPr>
      <w:rPr>
        <w:rFonts w:cs="Times New Roman" w:hint="eastAsia"/>
        <w:spacing w:val="0"/>
      </w:rPr>
    </w:lvl>
    <w:lvl w:ilvl="4">
      <w:start w:val="1"/>
      <w:numFmt w:val="decimal"/>
      <w:lvlText w:val="(%5)"/>
      <w:lvlJc w:val="left"/>
      <w:pPr>
        <w:tabs>
          <w:tab w:val="num" w:pos="3600"/>
        </w:tabs>
        <w:ind w:left="2880"/>
      </w:pPr>
      <w:rPr>
        <w:rFonts w:cs="Times New Roman" w:hint="eastAsia"/>
        <w:spacing w:val="0"/>
      </w:rPr>
    </w:lvl>
    <w:lvl w:ilvl="5">
      <w:start w:val="1"/>
      <w:numFmt w:val="lowerLetter"/>
      <w:lvlText w:val="(%6)"/>
      <w:lvlJc w:val="left"/>
      <w:pPr>
        <w:tabs>
          <w:tab w:val="num" w:pos="4320"/>
        </w:tabs>
        <w:ind w:left="3600"/>
      </w:pPr>
      <w:rPr>
        <w:rFonts w:cs="Times New Roman" w:hint="eastAsia"/>
        <w:spacing w:val="0"/>
      </w:rPr>
    </w:lvl>
    <w:lvl w:ilvl="6">
      <w:start w:val="1"/>
      <w:numFmt w:val="lowerRoman"/>
      <w:lvlText w:val="(%7)"/>
      <w:lvlJc w:val="left"/>
      <w:pPr>
        <w:tabs>
          <w:tab w:val="num" w:pos="5400"/>
        </w:tabs>
        <w:ind w:left="4320"/>
      </w:pPr>
      <w:rPr>
        <w:rFonts w:cs="Times New Roman" w:hint="eastAsia"/>
        <w:spacing w:val="0"/>
      </w:rPr>
    </w:lvl>
    <w:lvl w:ilvl="7">
      <w:start w:val="1"/>
      <w:numFmt w:val="lowerLetter"/>
      <w:lvlText w:val="(%8)"/>
      <w:lvlJc w:val="left"/>
      <w:pPr>
        <w:tabs>
          <w:tab w:val="num" w:pos="5760"/>
        </w:tabs>
        <w:ind w:left="5040"/>
      </w:pPr>
      <w:rPr>
        <w:rFonts w:cs="Times New Roman" w:hint="eastAsia"/>
        <w:spacing w:val="0"/>
      </w:rPr>
    </w:lvl>
    <w:lvl w:ilvl="8">
      <w:start w:val="1"/>
      <w:numFmt w:val="lowerRoman"/>
      <w:lvlText w:val="(%9)"/>
      <w:lvlJc w:val="left"/>
      <w:pPr>
        <w:tabs>
          <w:tab w:val="num" w:pos="6480"/>
        </w:tabs>
        <w:ind w:left="5760"/>
      </w:pPr>
      <w:rPr>
        <w:rFonts w:cs="Times New Roman" w:hint="eastAsia"/>
        <w:spacing w:val="0"/>
      </w:rPr>
    </w:lvl>
  </w:abstractNum>
  <w:abstractNum w:abstractNumId="4" w15:restartNumberingAfterBreak="0">
    <w:nsid w:val="020B08C1"/>
    <w:multiLevelType w:val="hybridMultilevel"/>
    <w:tmpl w:val="00924CD6"/>
    <w:lvl w:ilvl="0" w:tplc="2110DE9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9149FA"/>
    <w:multiLevelType w:val="multilevel"/>
    <w:tmpl w:val="B72E11DA"/>
    <w:name w:val="zzmpLegal2Inde||Legal2 (Indent)|2|3|1|1|0|13||1|0|5||1|0|4||1|0|5||1|0|4||1|0|4||1|0|4||1|0|4||1|0|4||"/>
    <w:lvl w:ilvl="0">
      <w:start w:val="6"/>
      <w:numFmt w:val="decimal"/>
      <w:lvlRestart w:val="0"/>
      <w:pStyle w:val="Legal2IndeL1"/>
      <w:lvlText w:val="%1."/>
      <w:lvlJc w:val="left"/>
      <w:pPr>
        <w:tabs>
          <w:tab w:val="num" w:pos="1440"/>
        </w:tabs>
        <w:ind w:left="0" w:firstLine="720"/>
      </w:pPr>
      <w:rPr>
        <w:rFonts w:ascii="Times New Roman" w:hAnsi="Times New Roman" w:hint="default"/>
        <w:b/>
        <w:i w:val="0"/>
        <w:caps/>
        <w:smallCaps w:val="0"/>
        <w:color w:val="auto"/>
        <w:sz w:val="24"/>
        <w:u w:val="none"/>
      </w:rPr>
    </w:lvl>
    <w:lvl w:ilvl="1">
      <w:start w:val="1"/>
      <w:numFmt w:val="decimal"/>
      <w:pStyle w:val="Legal2IndeL2"/>
      <w:lvlText w:val="%1.%2"/>
      <w:lvlJc w:val="left"/>
      <w:pPr>
        <w:tabs>
          <w:tab w:val="num" w:pos="2160"/>
        </w:tabs>
        <w:ind w:left="0" w:firstLine="1440"/>
      </w:pPr>
      <w:rPr>
        <w:rFonts w:ascii="Times New Roman" w:hAnsi="Times New Roman" w:hint="default"/>
        <w:b/>
        <w:i w:val="0"/>
        <w:caps w:val="0"/>
        <w:color w:val="auto"/>
        <w:sz w:val="24"/>
        <w:u w:val="none"/>
      </w:rPr>
    </w:lvl>
    <w:lvl w:ilvl="2">
      <w:start w:val="1"/>
      <w:numFmt w:val="lowerLetter"/>
      <w:pStyle w:val="Legal2IndeL3"/>
      <w:lvlText w:val="(%3)"/>
      <w:lvlJc w:val="left"/>
      <w:pPr>
        <w:tabs>
          <w:tab w:val="num" w:pos="2880"/>
        </w:tabs>
        <w:ind w:left="0" w:firstLine="2160"/>
      </w:pPr>
      <w:rPr>
        <w:rFonts w:ascii="Times New Roman" w:hAnsi="Times New Roman" w:hint="default"/>
        <w:b w:val="0"/>
        <w:i w:val="0"/>
        <w:caps w:val="0"/>
        <w:color w:val="auto"/>
        <w:sz w:val="24"/>
        <w:u w:val="none"/>
      </w:rPr>
    </w:lvl>
    <w:lvl w:ilvl="3">
      <w:start w:val="1"/>
      <w:numFmt w:val="decimal"/>
      <w:pStyle w:val="Legal2IndeL4"/>
      <w:lvlText w:val="(%4)"/>
      <w:lvlJc w:val="left"/>
      <w:pPr>
        <w:tabs>
          <w:tab w:val="num" w:pos="3600"/>
        </w:tabs>
        <w:ind w:left="0" w:firstLine="2880"/>
      </w:pPr>
      <w:rPr>
        <w:rFonts w:ascii="Times New Roman" w:hAnsi="Times New Roman" w:hint="default"/>
        <w:b w:val="0"/>
        <w:i w:val="0"/>
        <w:caps w:val="0"/>
        <w:color w:val="auto"/>
        <w:sz w:val="24"/>
        <w:u w:val="none"/>
      </w:rPr>
    </w:lvl>
    <w:lvl w:ilvl="4">
      <w:start w:val="1"/>
      <w:numFmt w:val="decimal"/>
      <w:pStyle w:val="Legal2IndeL5"/>
      <w:lvlText w:val="(%5)"/>
      <w:lvlJc w:val="left"/>
      <w:pPr>
        <w:tabs>
          <w:tab w:val="num" w:pos="4320"/>
        </w:tabs>
        <w:ind w:left="0" w:firstLine="3600"/>
      </w:pPr>
      <w:rPr>
        <w:rFonts w:ascii="Times New Roman" w:hAnsi="Times New Roman" w:hint="default"/>
        <w:b/>
        <w:i w:val="0"/>
        <w:caps w:val="0"/>
        <w:color w:val="auto"/>
        <w:sz w:val="24"/>
        <w:u w:val="none"/>
      </w:rPr>
    </w:lvl>
    <w:lvl w:ilvl="5">
      <w:start w:val="1"/>
      <w:numFmt w:val="lowerLetter"/>
      <w:pStyle w:val="Legal2IndeL6"/>
      <w:lvlText w:val="%6."/>
      <w:lvlJc w:val="left"/>
      <w:pPr>
        <w:tabs>
          <w:tab w:val="num" w:pos="5040"/>
        </w:tabs>
        <w:ind w:left="0" w:firstLine="4320"/>
      </w:pPr>
      <w:rPr>
        <w:rFonts w:ascii="Times New Roman" w:hAnsi="Times New Roman" w:hint="default"/>
        <w:b/>
        <w:i w:val="0"/>
        <w:caps w:val="0"/>
        <w:color w:val="auto"/>
        <w:sz w:val="24"/>
        <w:u w:val="none"/>
      </w:rPr>
    </w:lvl>
    <w:lvl w:ilvl="6">
      <w:start w:val="1"/>
      <w:numFmt w:val="lowerRoman"/>
      <w:pStyle w:val="Legal2IndeL7"/>
      <w:lvlText w:val="%7."/>
      <w:lvlJc w:val="left"/>
      <w:pPr>
        <w:tabs>
          <w:tab w:val="num" w:pos="5760"/>
        </w:tabs>
        <w:ind w:left="0" w:firstLine="5040"/>
      </w:pPr>
      <w:rPr>
        <w:rFonts w:ascii="Times New Roman" w:hAnsi="Times New Roman" w:hint="default"/>
        <w:b/>
        <w:i w:val="0"/>
        <w:caps w:val="0"/>
        <w:color w:val="auto"/>
        <w:sz w:val="24"/>
        <w:u w:val="none"/>
      </w:rPr>
    </w:lvl>
    <w:lvl w:ilvl="7">
      <w:start w:val="1"/>
      <w:numFmt w:val="lowerLetter"/>
      <w:pStyle w:val="Legal2IndeL8"/>
      <w:lvlText w:val="%8)"/>
      <w:lvlJc w:val="left"/>
      <w:pPr>
        <w:tabs>
          <w:tab w:val="num" w:pos="6480"/>
        </w:tabs>
        <w:ind w:left="0" w:firstLine="5760"/>
      </w:pPr>
      <w:rPr>
        <w:rFonts w:ascii="Times New Roman" w:hAnsi="Times New Roman" w:hint="default"/>
        <w:b/>
        <w:i w:val="0"/>
        <w:caps w:val="0"/>
        <w:color w:val="auto"/>
        <w:sz w:val="24"/>
        <w:u w:val="none"/>
      </w:rPr>
    </w:lvl>
    <w:lvl w:ilvl="8">
      <w:start w:val="1"/>
      <w:numFmt w:val="lowerRoman"/>
      <w:pStyle w:val="Legal2IndeL9"/>
      <w:lvlText w:val="%9)"/>
      <w:lvlJc w:val="left"/>
      <w:pPr>
        <w:tabs>
          <w:tab w:val="num" w:pos="7200"/>
        </w:tabs>
        <w:ind w:left="0" w:firstLine="6480"/>
      </w:pPr>
      <w:rPr>
        <w:rFonts w:ascii="Times New Roman" w:hAnsi="Times New Roman" w:hint="default"/>
        <w:b/>
        <w:i w:val="0"/>
        <w:caps w:val="0"/>
        <w:color w:val="auto"/>
        <w:sz w:val="24"/>
        <w:u w:val="none"/>
      </w:rPr>
    </w:lvl>
  </w:abstractNum>
  <w:abstractNum w:abstractNumId="6" w15:restartNumberingAfterBreak="0">
    <w:nsid w:val="2A180409"/>
    <w:multiLevelType w:val="hybridMultilevel"/>
    <w:tmpl w:val="DDEA18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01CCC"/>
    <w:multiLevelType w:val="multilevel"/>
    <w:tmpl w:val="A6021706"/>
    <w:name w:val="zzmpTabbed||Tabbed|2|1|1|1|0|0||1|0|0||1|0|0||1|0|0||1|0|0||1|0|0||1|0|0||1|0|0||1|0|0||"/>
    <w:lvl w:ilvl="0">
      <w:start w:val="1"/>
      <w:numFmt w:val="decimal"/>
      <w:lvlRestart w:val="0"/>
      <w:pStyle w:val="TabbedL1"/>
      <w:lvlText w:val="%1."/>
      <w:lvlJc w:val="left"/>
      <w:pPr>
        <w:tabs>
          <w:tab w:val="num" w:pos="1440"/>
        </w:tabs>
        <w:ind w:left="0" w:firstLine="7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2160"/>
        </w:tabs>
        <w:ind w:left="0" w:firstLine="144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880"/>
        </w:tabs>
        <w:ind w:left="0" w:firstLine="216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TabbedL4"/>
      <w:lvlText w:val="(%4)"/>
      <w:lvlJc w:val="left"/>
      <w:pPr>
        <w:tabs>
          <w:tab w:val="num" w:pos="3600"/>
        </w:tabs>
        <w:ind w:left="3600" w:hanging="7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4320"/>
        </w:tabs>
        <w:ind w:left="0" w:firstLine="360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5040"/>
        </w:tabs>
        <w:ind w:left="0" w:firstLine="43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760"/>
        </w:tabs>
        <w:ind w:left="0" w:firstLine="504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6480"/>
        </w:tabs>
        <w:ind w:left="0" w:firstLine="576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7200"/>
        </w:tabs>
        <w:ind w:left="0" w:firstLine="648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E500E74"/>
    <w:multiLevelType w:val="multilevel"/>
    <w:tmpl w:val="9946AB30"/>
    <w:lvl w:ilvl="0">
      <w:start w:val="1"/>
      <w:numFmt w:val="decimal"/>
      <w:lvlRestart w:val="0"/>
      <w:lvlText w:val="%1."/>
      <w:lvlJc w:val="left"/>
      <w:pPr>
        <w:tabs>
          <w:tab w:val="num" w:pos="0"/>
        </w:tabs>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0"/>
        </w:tabs>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decimal"/>
      <w:lvlText w:val="%4."/>
      <w:lvlJc w:val="left"/>
      <w:pPr>
        <w:tabs>
          <w:tab w:val="num" w:pos="0"/>
        </w:tabs>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4"/>
      <w:numFmt w:val="decimal"/>
      <w:isLgl/>
      <w:lvlText w:val="%4.%5"/>
      <w:lvlJc w:val="left"/>
      <w:pPr>
        <w:tabs>
          <w:tab w:val="num" w:pos="0"/>
        </w:tabs>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3"/>
      <w:numFmt w:val="decimal"/>
      <w:isLgl/>
      <w:lvlText w:val="%4.%5.%6"/>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42B45BE"/>
    <w:multiLevelType w:val="multilevel"/>
    <w:tmpl w:val="9AA8A604"/>
    <w:lvl w:ilvl="0">
      <w:start w:val="1"/>
      <w:numFmt w:val="decimal"/>
      <w:lvlRestart w:val="0"/>
      <w:pStyle w:val="LEGALE1"/>
      <w:lvlText w:val="%1."/>
      <w:lvlJc w:val="left"/>
      <w:pPr>
        <w:ind w:left="720" w:firstLine="720"/>
      </w:pPr>
      <w:rPr>
        <w:rFonts w:ascii="(normal text)" w:hAnsi="(normal text)" w:cs="Times New Roman" w:hint="default"/>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E2"/>
      <w:isLgl/>
      <w:lvlText w:val="%1.%2"/>
      <w:lvlJc w:val="left"/>
      <w:pPr>
        <w:ind w:left="720" w:firstLine="1440"/>
      </w:pPr>
      <w:rPr>
        <w:rFonts w:ascii="(normal text)" w:hAnsi="(normal text)" w:cs="Times New Roman"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E3"/>
      <w:lvlText w:val="(%3)"/>
      <w:lvlJc w:val="left"/>
      <w:pPr>
        <w:ind w:left="720" w:firstLine="216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E4"/>
      <w:lvlText w:val="(%4)"/>
      <w:lvlJc w:val="left"/>
      <w:pPr>
        <w:ind w:left="720" w:firstLine="288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LEGALE5"/>
      <w:suff w:val="nothing"/>
      <w:lvlText w:val="  "/>
      <w:lvlJc w:val="left"/>
      <w:pPr>
        <w:ind w:left="1728" w:hanging="432"/>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LEGALE6"/>
      <w:suff w:val="nothing"/>
      <w:lvlText w:val="  "/>
      <w:lvlJc w:val="left"/>
      <w:pPr>
        <w:ind w:left="1872" w:hanging="432"/>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GALE7"/>
      <w:suff w:val="nothing"/>
      <w:lvlText w:val="  "/>
      <w:lvlJc w:val="left"/>
      <w:pPr>
        <w:ind w:left="72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LEGALE8"/>
      <w:suff w:val="nothing"/>
      <w:lvlText w:val="  "/>
      <w:lvlJc w:val="left"/>
      <w:pPr>
        <w:ind w:left="72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LEGALE9"/>
      <w:suff w:val="nothing"/>
      <w:lvlText w:val="  "/>
      <w:lvlJc w:val="left"/>
      <w:pPr>
        <w:ind w:left="72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8E879D1"/>
    <w:multiLevelType w:val="hybridMultilevel"/>
    <w:tmpl w:val="3D3EF536"/>
    <w:lvl w:ilvl="0" w:tplc="2110DE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10"/>
  </w:num>
  <w:num w:numId="10">
    <w:abstractNumId w:val="5"/>
  </w:num>
  <w:num w:numId="11">
    <w:abstractNumId w:val="3"/>
  </w:num>
  <w:num w:numId="12">
    <w:abstractNumId w:val="0"/>
  </w:num>
  <w:num w:numId="13">
    <w:abstractNumId w:val="0"/>
  </w:num>
  <w:num w:numId="14">
    <w:abstractNumId w:val="7"/>
  </w:num>
  <w:num w:numId="15">
    <w:abstractNumId w:val="8"/>
  </w:num>
  <w:num w:numId="16">
    <w:abstractNumId w:val="5"/>
  </w:num>
  <w:num w:numId="17">
    <w:abstractNumId w:val="2"/>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5"/>
  </w:num>
  <w:num w:numId="2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B8D"/>
    <w:rsid w:val="00032143"/>
    <w:rsid w:val="00032BE8"/>
    <w:rsid w:val="000A4CA3"/>
    <w:rsid w:val="000B47CC"/>
    <w:rsid w:val="000C7DCE"/>
    <w:rsid w:val="000D3A24"/>
    <w:rsid w:val="000E0366"/>
    <w:rsid w:val="000E0763"/>
    <w:rsid w:val="000E55B4"/>
    <w:rsid w:val="001029C3"/>
    <w:rsid w:val="001265AA"/>
    <w:rsid w:val="00191508"/>
    <w:rsid w:val="001A4883"/>
    <w:rsid w:val="001A7571"/>
    <w:rsid w:val="001E3449"/>
    <w:rsid w:val="001E638D"/>
    <w:rsid w:val="001F594B"/>
    <w:rsid w:val="00205B8D"/>
    <w:rsid w:val="002350E7"/>
    <w:rsid w:val="002621C2"/>
    <w:rsid w:val="00265917"/>
    <w:rsid w:val="002A3B3E"/>
    <w:rsid w:val="002A4538"/>
    <w:rsid w:val="002B3EFE"/>
    <w:rsid w:val="002B4126"/>
    <w:rsid w:val="002B6873"/>
    <w:rsid w:val="002F1EBE"/>
    <w:rsid w:val="00307CCD"/>
    <w:rsid w:val="003120BF"/>
    <w:rsid w:val="003408BA"/>
    <w:rsid w:val="0034312C"/>
    <w:rsid w:val="00367F8D"/>
    <w:rsid w:val="0037135A"/>
    <w:rsid w:val="00384170"/>
    <w:rsid w:val="0039170D"/>
    <w:rsid w:val="003B6840"/>
    <w:rsid w:val="003D2977"/>
    <w:rsid w:val="003E47D0"/>
    <w:rsid w:val="00456995"/>
    <w:rsid w:val="004740F0"/>
    <w:rsid w:val="004B659F"/>
    <w:rsid w:val="004C0DFF"/>
    <w:rsid w:val="004C4FEC"/>
    <w:rsid w:val="0050315E"/>
    <w:rsid w:val="00504C54"/>
    <w:rsid w:val="005370F5"/>
    <w:rsid w:val="00624BE0"/>
    <w:rsid w:val="00633554"/>
    <w:rsid w:val="006A30CF"/>
    <w:rsid w:val="006C0E1B"/>
    <w:rsid w:val="006E217F"/>
    <w:rsid w:val="00720800"/>
    <w:rsid w:val="00741515"/>
    <w:rsid w:val="00744DE2"/>
    <w:rsid w:val="0075369F"/>
    <w:rsid w:val="00770869"/>
    <w:rsid w:val="00783C0C"/>
    <w:rsid w:val="007F3737"/>
    <w:rsid w:val="00802653"/>
    <w:rsid w:val="008355FE"/>
    <w:rsid w:val="00852685"/>
    <w:rsid w:val="008921C0"/>
    <w:rsid w:val="008A5CC1"/>
    <w:rsid w:val="009244C8"/>
    <w:rsid w:val="00936F58"/>
    <w:rsid w:val="0095184D"/>
    <w:rsid w:val="009778FE"/>
    <w:rsid w:val="009B4EB0"/>
    <w:rsid w:val="009C2A2E"/>
    <w:rsid w:val="009C6C3F"/>
    <w:rsid w:val="009D362A"/>
    <w:rsid w:val="00A01334"/>
    <w:rsid w:val="00A3101B"/>
    <w:rsid w:val="00A8073C"/>
    <w:rsid w:val="00A8235E"/>
    <w:rsid w:val="00A94DC7"/>
    <w:rsid w:val="00AB6AC5"/>
    <w:rsid w:val="00AD0E42"/>
    <w:rsid w:val="00B2312C"/>
    <w:rsid w:val="00B27426"/>
    <w:rsid w:val="00B329AF"/>
    <w:rsid w:val="00B74F3D"/>
    <w:rsid w:val="00B91A97"/>
    <w:rsid w:val="00B9274F"/>
    <w:rsid w:val="00B94AC8"/>
    <w:rsid w:val="00BB2341"/>
    <w:rsid w:val="00BB6188"/>
    <w:rsid w:val="00BD1C80"/>
    <w:rsid w:val="00C361BF"/>
    <w:rsid w:val="00C62EFA"/>
    <w:rsid w:val="00C974F8"/>
    <w:rsid w:val="00CC2416"/>
    <w:rsid w:val="00CF5068"/>
    <w:rsid w:val="00CF6145"/>
    <w:rsid w:val="00CF6B04"/>
    <w:rsid w:val="00D15B45"/>
    <w:rsid w:val="00D609E6"/>
    <w:rsid w:val="00D77A29"/>
    <w:rsid w:val="00DE63B5"/>
    <w:rsid w:val="00DF3F93"/>
    <w:rsid w:val="00E16ABC"/>
    <w:rsid w:val="00E2009C"/>
    <w:rsid w:val="00E30D42"/>
    <w:rsid w:val="00E43D77"/>
    <w:rsid w:val="00E85883"/>
    <w:rsid w:val="00EC752C"/>
    <w:rsid w:val="00EE4A4D"/>
    <w:rsid w:val="00F00FC4"/>
    <w:rsid w:val="00F01493"/>
    <w:rsid w:val="00F1798E"/>
    <w:rsid w:val="00F332DE"/>
    <w:rsid w:val="00F56799"/>
    <w:rsid w:val="00F87182"/>
    <w:rsid w:val="00FB32F6"/>
    <w:rsid w:val="00FB7489"/>
    <w:rsid w:val="00FD32FC"/>
    <w:rsid w:val="00FF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3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
    <w:link w:val="Heading1Char"/>
    <w:qFormat/>
    <w:rsid w:val="00E43D77"/>
    <w:pPr>
      <w:numPr>
        <w:numId w:val="12"/>
      </w:numPr>
      <w:suppressAutoHyphens/>
      <w:spacing w:after="240" w:line="240" w:lineRule="auto"/>
      <w:jc w:val="both"/>
      <w:outlineLvl w:val="0"/>
    </w:pPr>
    <w:rPr>
      <w:rFonts w:ascii="Times New Roman" w:eastAsia="Times New Roman" w:hAnsi="Times New Roman" w:cs="Times New Roman"/>
      <w:sz w:val="24"/>
      <w:szCs w:val="20"/>
      <w:u w:val="single"/>
      <w:lang w:val="x-none" w:eastAsia="x-none"/>
    </w:rPr>
  </w:style>
  <w:style w:type="paragraph" w:styleId="Heading2">
    <w:name w:val="heading 2"/>
    <w:basedOn w:val="Normal"/>
    <w:next w:val="Bod"/>
    <w:link w:val="Heading2Char"/>
    <w:qFormat/>
    <w:rsid w:val="00E43D77"/>
    <w:pPr>
      <w:numPr>
        <w:ilvl w:val="1"/>
        <w:numId w:val="12"/>
      </w:numPr>
      <w:suppressAutoHyphens/>
      <w:spacing w:after="240" w:line="240" w:lineRule="auto"/>
      <w:jc w:val="both"/>
      <w:outlineLvl w:val="1"/>
    </w:pPr>
    <w:rPr>
      <w:rFonts w:ascii="Times New Roman" w:eastAsia="Times New Roman" w:hAnsi="Times New Roman" w:cs="Times New Roman"/>
      <w:sz w:val="24"/>
      <w:szCs w:val="20"/>
      <w:u w:val="single"/>
      <w:lang w:val="x-none" w:eastAsia="x-none"/>
    </w:rPr>
  </w:style>
  <w:style w:type="paragraph" w:styleId="Heading3">
    <w:name w:val="heading 3"/>
    <w:basedOn w:val="Normal"/>
    <w:next w:val="Bod"/>
    <w:link w:val="Heading3Char"/>
    <w:qFormat/>
    <w:rsid w:val="00E43D77"/>
    <w:pPr>
      <w:numPr>
        <w:ilvl w:val="2"/>
        <w:numId w:val="12"/>
      </w:numPr>
      <w:suppressAutoHyphens/>
      <w:spacing w:after="240" w:line="240" w:lineRule="auto"/>
      <w:jc w:val="both"/>
      <w:outlineLvl w:val="2"/>
    </w:pPr>
    <w:rPr>
      <w:rFonts w:ascii="Times New Roman" w:eastAsia="Times New Roman" w:hAnsi="Times New Roman" w:cs="Times New Roman"/>
      <w:sz w:val="24"/>
      <w:szCs w:val="20"/>
      <w:lang w:val="x-none" w:eastAsia="x-none"/>
    </w:rPr>
  </w:style>
  <w:style w:type="paragraph" w:styleId="Heading4">
    <w:name w:val="heading 4"/>
    <w:basedOn w:val="Normal"/>
    <w:next w:val="Bod"/>
    <w:link w:val="Heading4Char"/>
    <w:qFormat/>
    <w:rsid w:val="00E43D77"/>
    <w:pPr>
      <w:numPr>
        <w:ilvl w:val="3"/>
        <w:numId w:val="12"/>
      </w:numPr>
      <w:suppressAutoHyphens/>
      <w:spacing w:after="240" w:line="240" w:lineRule="auto"/>
      <w:jc w:val="both"/>
      <w:outlineLvl w:val="3"/>
    </w:pPr>
    <w:rPr>
      <w:rFonts w:ascii="Times New Roman" w:eastAsia="Times New Roman" w:hAnsi="Times New Roman" w:cs="Times New Roman"/>
      <w:sz w:val="24"/>
      <w:szCs w:val="20"/>
      <w:lang w:val="x-none" w:eastAsia="x-none"/>
    </w:rPr>
  </w:style>
  <w:style w:type="paragraph" w:styleId="Heading6">
    <w:name w:val="heading 6"/>
    <w:basedOn w:val="Normal"/>
    <w:next w:val="Normal"/>
    <w:link w:val="Heading6Char"/>
    <w:uiPriority w:val="9"/>
    <w:semiHidden/>
    <w:unhideWhenUsed/>
    <w:qFormat/>
    <w:rsid w:val="00EC752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B8D"/>
    <w:pPr>
      <w:ind w:left="720"/>
      <w:contextualSpacing/>
    </w:pPr>
  </w:style>
  <w:style w:type="paragraph" w:styleId="Footer">
    <w:name w:val="footer"/>
    <w:basedOn w:val="Normal"/>
    <w:link w:val="FooterChar"/>
    <w:rsid w:val="00205B8D"/>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05B8D"/>
    <w:rPr>
      <w:rFonts w:ascii="Times New Roman" w:eastAsia="Times New Roman" w:hAnsi="Times New Roman" w:cs="Times New Roman"/>
      <w:sz w:val="20"/>
      <w:szCs w:val="20"/>
    </w:rPr>
  </w:style>
  <w:style w:type="paragraph" w:styleId="BodyText">
    <w:name w:val="Body Text"/>
    <w:basedOn w:val="Normal"/>
    <w:link w:val="BodyTextChar"/>
    <w:rsid w:val="00205B8D"/>
    <w:pPr>
      <w:spacing w:after="240" w:line="240" w:lineRule="auto"/>
      <w:ind w:firstLine="720"/>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05B8D"/>
    <w:rPr>
      <w:rFonts w:ascii="Times New Roman" w:eastAsia="Times New Roman" w:hAnsi="Times New Roman" w:cs="Times New Roman"/>
      <w:sz w:val="24"/>
      <w:szCs w:val="20"/>
    </w:rPr>
  </w:style>
  <w:style w:type="paragraph" w:customStyle="1" w:styleId="Legal2IndeL1">
    <w:name w:val="Legal2Inde_L1"/>
    <w:basedOn w:val="Normal"/>
    <w:next w:val="BodyText"/>
    <w:rsid w:val="00205B8D"/>
    <w:pPr>
      <w:numPr>
        <w:numId w:val="24"/>
      </w:numPr>
      <w:spacing w:after="240" w:line="240" w:lineRule="auto"/>
      <w:jc w:val="both"/>
      <w:outlineLvl w:val="0"/>
    </w:pPr>
    <w:rPr>
      <w:rFonts w:ascii="Times New Roman" w:eastAsia="Times New Roman" w:hAnsi="Times New Roman" w:cs="Times New Roman"/>
      <w:sz w:val="24"/>
      <w:szCs w:val="20"/>
    </w:rPr>
  </w:style>
  <w:style w:type="paragraph" w:customStyle="1" w:styleId="Legal2IndeL2">
    <w:name w:val="Legal2Inde_L2"/>
    <w:basedOn w:val="Legal2IndeL1"/>
    <w:next w:val="BodyText"/>
    <w:link w:val="Legal2IndeL2Char"/>
    <w:rsid w:val="00205B8D"/>
    <w:pPr>
      <w:numPr>
        <w:ilvl w:val="1"/>
      </w:numPr>
      <w:outlineLvl w:val="1"/>
    </w:pPr>
  </w:style>
  <w:style w:type="paragraph" w:customStyle="1" w:styleId="Legal2IndeL3">
    <w:name w:val="Legal2Inde_L3"/>
    <w:basedOn w:val="Legal2IndeL2"/>
    <w:next w:val="BodyText"/>
    <w:link w:val="Legal2IndeL3Char"/>
    <w:rsid w:val="00205B8D"/>
    <w:pPr>
      <w:numPr>
        <w:ilvl w:val="2"/>
      </w:numPr>
      <w:outlineLvl w:val="2"/>
    </w:pPr>
  </w:style>
  <w:style w:type="paragraph" w:customStyle="1" w:styleId="Legal2IndeL4">
    <w:name w:val="Legal2Inde_L4"/>
    <w:basedOn w:val="Legal2IndeL3"/>
    <w:next w:val="BodyText"/>
    <w:rsid w:val="00205B8D"/>
    <w:pPr>
      <w:numPr>
        <w:ilvl w:val="3"/>
      </w:numPr>
      <w:outlineLvl w:val="3"/>
    </w:pPr>
  </w:style>
  <w:style w:type="paragraph" w:customStyle="1" w:styleId="Legal2IndeL5">
    <w:name w:val="Legal2Inde_L5"/>
    <w:basedOn w:val="Legal2IndeL4"/>
    <w:next w:val="BodyText"/>
    <w:rsid w:val="00205B8D"/>
    <w:pPr>
      <w:numPr>
        <w:ilvl w:val="4"/>
      </w:numPr>
      <w:jc w:val="left"/>
      <w:outlineLvl w:val="4"/>
    </w:pPr>
  </w:style>
  <w:style w:type="paragraph" w:customStyle="1" w:styleId="Legal2IndeL6">
    <w:name w:val="Legal2Inde_L6"/>
    <w:basedOn w:val="Legal2IndeL5"/>
    <w:next w:val="BodyText"/>
    <w:rsid w:val="00205B8D"/>
    <w:pPr>
      <w:numPr>
        <w:ilvl w:val="5"/>
      </w:numPr>
      <w:outlineLvl w:val="5"/>
    </w:pPr>
  </w:style>
  <w:style w:type="paragraph" w:customStyle="1" w:styleId="Legal2IndeL7">
    <w:name w:val="Legal2Inde_L7"/>
    <w:basedOn w:val="Legal2IndeL6"/>
    <w:next w:val="BodyText"/>
    <w:rsid w:val="00205B8D"/>
    <w:pPr>
      <w:numPr>
        <w:ilvl w:val="6"/>
      </w:numPr>
      <w:outlineLvl w:val="6"/>
    </w:pPr>
  </w:style>
  <w:style w:type="paragraph" w:customStyle="1" w:styleId="Legal2IndeL8">
    <w:name w:val="Legal2Inde_L8"/>
    <w:basedOn w:val="Legal2IndeL7"/>
    <w:next w:val="BodyText"/>
    <w:rsid w:val="00205B8D"/>
    <w:pPr>
      <w:numPr>
        <w:ilvl w:val="7"/>
      </w:numPr>
      <w:outlineLvl w:val="7"/>
    </w:pPr>
  </w:style>
  <w:style w:type="paragraph" w:customStyle="1" w:styleId="Legal2IndeL9">
    <w:name w:val="Legal2Inde_L9"/>
    <w:basedOn w:val="Legal2IndeL8"/>
    <w:next w:val="BodyText"/>
    <w:rsid w:val="00205B8D"/>
    <w:pPr>
      <w:numPr>
        <w:ilvl w:val="8"/>
      </w:numPr>
      <w:outlineLvl w:val="8"/>
    </w:pPr>
  </w:style>
  <w:style w:type="character" w:customStyle="1" w:styleId="Legal2IndeL2Char">
    <w:name w:val="Legal2Inde_L2 Char"/>
    <w:link w:val="Legal2IndeL2"/>
    <w:rsid w:val="00205B8D"/>
    <w:rPr>
      <w:rFonts w:ascii="Times New Roman" w:eastAsia="Times New Roman" w:hAnsi="Times New Roman" w:cs="Times New Roman"/>
      <w:sz w:val="24"/>
      <w:szCs w:val="20"/>
    </w:rPr>
  </w:style>
  <w:style w:type="character" w:customStyle="1" w:styleId="Legal2IndeL3Char">
    <w:name w:val="Legal2Inde_L3 Char"/>
    <w:link w:val="Legal2IndeL3"/>
    <w:rsid w:val="0045699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F6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145"/>
  </w:style>
  <w:style w:type="paragraph" w:styleId="BalloonText">
    <w:name w:val="Balloon Text"/>
    <w:basedOn w:val="Normal"/>
    <w:link w:val="BalloonTextChar"/>
    <w:uiPriority w:val="99"/>
    <w:semiHidden/>
    <w:unhideWhenUsed/>
    <w:rsid w:val="00CF6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145"/>
    <w:rPr>
      <w:rFonts w:ascii="Tahoma" w:hAnsi="Tahoma" w:cs="Tahoma"/>
      <w:sz w:val="16"/>
      <w:szCs w:val="16"/>
    </w:rPr>
  </w:style>
  <w:style w:type="character" w:customStyle="1" w:styleId="Instruction">
    <w:name w:val="Instruction"/>
    <w:rsid w:val="000C7DCE"/>
    <w:rPr>
      <w:rFonts w:ascii="Times New Roman Bold" w:hAnsi="Times New Roman Bold"/>
      <w:b/>
      <w:i/>
      <w:sz w:val="22"/>
    </w:rPr>
  </w:style>
  <w:style w:type="paragraph" w:customStyle="1" w:styleId="Title1">
    <w:name w:val="Title1"/>
    <w:basedOn w:val="Normal"/>
    <w:rsid w:val="000C7DCE"/>
    <w:pPr>
      <w:spacing w:after="480" w:line="240" w:lineRule="auto"/>
      <w:jc w:val="center"/>
    </w:pPr>
    <w:rPr>
      <w:rFonts w:ascii="Times New Roman Bold" w:eastAsia="Times New Roman" w:hAnsi="Times New Roman Bold" w:cs="Times New Roman"/>
      <w:b/>
      <w:caps/>
      <w:sz w:val="24"/>
      <w:szCs w:val="20"/>
    </w:rPr>
  </w:style>
  <w:style w:type="character" w:customStyle="1" w:styleId="Heading1Char">
    <w:name w:val="Heading 1 Char"/>
    <w:basedOn w:val="DefaultParagraphFont"/>
    <w:link w:val="Heading1"/>
    <w:rsid w:val="00E43D77"/>
    <w:rPr>
      <w:rFonts w:ascii="Times New Roman" w:eastAsia="Times New Roman" w:hAnsi="Times New Roman" w:cs="Times New Roman"/>
      <w:sz w:val="24"/>
      <w:szCs w:val="20"/>
      <w:u w:val="single"/>
      <w:lang w:val="x-none" w:eastAsia="x-none"/>
    </w:rPr>
  </w:style>
  <w:style w:type="character" w:customStyle="1" w:styleId="Heading2Char">
    <w:name w:val="Heading 2 Char"/>
    <w:basedOn w:val="DefaultParagraphFont"/>
    <w:link w:val="Heading2"/>
    <w:rsid w:val="00E43D77"/>
    <w:rPr>
      <w:rFonts w:ascii="Times New Roman" w:eastAsia="Times New Roman" w:hAnsi="Times New Roman" w:cs="Times New Roman"/>
      <w:sz w:val="24"/>
      <w:szCs w:val="20"/>
      <w:u w:val="single"/>
      <w:lang w:val="x-none" w:eastAsia="x-none"/>
    </w:rPr>
  </w:style>
  <w:style w:type="character" w:customStyle="1" w:styleId="Heading3Char">
    <w:name w:val="Heading 3 Char"/>
    <w:basedOn w:val="DefaultParagraphFont"/>
    <w:link w:val="Heading3"/>
    <w:rsid w:val="00E43D77"/>
    <w:rPr>
      <w:rFonts w:ascii="Times New Roman" w:eastAsia="Times New Roman" w:hAnsi="Times New Roman" w:cs="Times New Roman"/>
      <w:sz w:val="24"/>
      <w:szCs w:val="20"/>
      <w:lang w:val="x-none" w:eastAsia="x-none"/>
    </w:rPr>
  </w:style>
  <w:style w:type="character" w:customStyle="1" w:styleId="Heading4Char">
    <w:name w:val="Heading 4 Char"/>
    <w:basedOn w:val="DefaultParagraphFont"/>
    <w:link w:val="Heading4"/>
    <w:rsid w:val="00E43D77"/>
    <w:rPr>
      <w:rFonts w:ascii="Times New Roman" w:eastAsia="Times New Roman" w:hAnsi="Times New Roman" w:cs="Times New Roman"/>
      <w:sz w:val="24"/>
      <w:szCs w:val="20"/>
      <w:lang w:val="x-none" w:eastAsia="x-none"/>
    </w:rPr>
  </w:style>
  <w:style w:type="paragraph" w:customStyle="1" w:styleId="Bod">
    <w:name w:val="Bod"/>
    <w:basedOn w:val="Normal"/>
    <w:rsid w:val="00E43D77"/>
    <w:pPr>
      <w:suppressAutoHyphens/>
      <w:spacing w:after="240" w:line="240" w:lineRule="auto"/>
      <w:ind w:firstLine="1440"/>
      <w:jc w:val="both"/>
    </w:pPr>
    <w:rPr>
      <w:rFonts w:ascii="Times New Roman" w:eastAsia="Times New Roman" w:hAnsi="Times New Roman" w:cs="Times New Roman"/>
      <w:sz w:val="24"/>
      <w:szCs w:val="20"/>
    </w:rPr>
  </w:style>
  <w:style w:type="character" w:styleId="FootnoteReference">
    <w:name w:val="footnote reference"/>
    <w:rsid w:val="00E43D77"/>
    <w:rPr>
      <w:spacing w:val="0"/>
      <w:w w:val="100"/>
      <w:position w:val="6"/>
      <w:sz w:val="16"/>
      <w:szCs w:val="16"/>
    </w:rPr>
  </w:style>
  <w:style w:type="paragraph" w:styleId="FootnoteText">
    <w:name w:val="footnote text"/>
    <w:aliases w:val="fn"/>
    <w:basedOn w:val="Normal"/>
    <w:link w:val="FootnoteTextChar1"/>
    <w:rsid w:val="00E43D77"/>
    <w:pPr>
      <w:tabs>
        <w:tab w:val="left" w:pos="720"/>
      </w:tabs>
      <w:autoSpaceDE w:val="0"/>
      <w:autoSpaceDN w:val="0"/>
      <w:adjustRightInd w:val="0"/>
      <w:spacing w:after="0" w:line="240" w:lineRule="auto"/>
      <w:ind w:firstLine="720"/>
      <w:jc w:val="both"/>
    </w:pPr>
    <w:rPr>
      <w:rFonts w:ascii="Times New Roman" w:eastAsia="Times New Roman" w:hAnsi="Times New Roman" w:cs="Times New Roman"/>
      <w:sz w:val="20"/>
      <w:szCs w:val="16"/>
      <w:lang w:val="x-none" w:eastAsia="x-none"/>
    </w:rPr>
  </w:style>
  <w:style w:type="character" w:customStyle="1" w:styleId="FootnoteTextChar">
    <w:name w:val="Footnote Text Char"/>
    <w:basedOn w:val="DefaultParagraphFont"/>
    <w:semiHidden/>
    <w:rsid w:val="00E43D77"/>
    <w:rPr>
      <w:sz w:val="20"/>
      <w:szCs w:val="20"/>
    </w:rPr>
  </w:style>
  <w:style w:type="character" w:customStyle="1" w:styleId="FootnoteTextChar1">
    <w:name w:val="Footnote Text Char1"/>
    <w:aliases w:val="fn Char"/>
    <w:link w:val="FootnoteText"/>
    <w:locked/>
    <w:rsid w:val="00E43D77"/>
    <w:rPr>
      <w:rFonts w:ascii="Times New Roman" w:eastAsia="Times New Roman" w:hAnsi="Times New Roman" w:cs="Times New Roman"/>
      <w:sz w:val="20"/>
      <w:szCs w:val="16"/>
      <w:lang w:val="x-none" w:eastAsia="x-none"/>
    </w:rPr>
  </w:style>
  <w:style w:type="character" w:customStyle="1" w:styleId="DeltaViewInsertion">
    <w:name w:val="DeltaView Insertion"/>
    <w:rsid w:val="00E43D77"/>
    <w:rPr>
      <w:b/>
      <w:spacing w:val="0"/>
      <w:u w:val="double"/>
    </w:rPr>
  </w:style>
  <w:style w:type="paragraph" w:customStyle="1" w:styleId="TabbedL1">
    <w:name w:val="Tabbed_L1"/>
    <w:basedOn w:val="Normal"/>
    <w:next w:val="Normal"/>
    <w:rsid w:val="00852685"/>
    <w:pPr>
      <w:numPr>
        <w:numId w:val="14"/>
      </w:numPr>
      <w:spacing w:after="240" w:line="240" w:lineRule="auto"/>
      <w:outlineLvl w:val="0"/>
    </w:pPr>
    <w:rPr>
      <w:rFonts w:ascii="Times New Roman" w:eastAsia="Times New Roman" w:hAnsi="Times New Roman" w:cs="Times New Roman"/>
      <w:sz w:val="24"/>
      <w:szCs w:val="20"/>
    </w:rPr>
  </w:style>
  <w:style w:type="paragraph" w:customStyle="1" w:styleId="TabbedL2">
    <w:name w:val="Tabbed_L2"/>
    <w:basedOn w:val="TabbedL1"/>
    <w:next w:val="Normal"/>
    <w:rsid w:val="00852685"/>
    <w:pPr>
      <w:numPr>
        <w:ilvl w:val="1"/>
      </w:numPr>
      <w:outlineLvl w:val="1"/>
    </w:pPr>
  </w:style>
  <w:style w:type="paragraph" w:customStyle="1" w:styleId="TabbedL3">
    <w:name w:val="Tabbed_L3"/>
    <w:basedOn w:val="TabbedL2"/>
    <w:next w:val="Normal"/>
    <w:uiPriority w:val="99"/>
    <w:rsid w:val="00852685"/>
    <w:pPr>
      <w:numPr>
        <w:ilvl w:val="2"/>
      </w:numPr>
      <w:outlineLvl w:val="2"/>
    </w:pPr>
  </w:style>
  <w:style w:type="paragraph" w:customStyle="1" w:styleId="TabbedL4">
    <w:name w:val="Tabbed_L4"/>
    <w:basedOn w:val="TabbedL3"/>
    <w:next w:val="Normal"/>
    <w:uiPriority w:val="99"/>
    <w:rsid w:val="00852685"/>
    <w:pPr>
      <w:numPr>
        <w:ilvl w:val="3"/>
      </w:numPr>
      <w:outlineLvl w:val="3"/>
    </w:pPr>
  </w:style>
  <w:style w:type="paragraph" w:customStyle="1" w:styleId="TabbedL5">
    <w:name w:val="Tabbed_L5"/>
    <w:basedOn w:val="TabbedL4"/>
    <w:next w:val="Normal"/>
    <w:uiPriority w:val="99"/>
    <w:rsid w:val="00852685"/>
    <w:pPr>
      <w:numPr>
        <w:ilvl w:val="4"/>
      </w:numPr>
      <w:outlineLvl w:val="4"/>
    </w:pPr>
  </w:style>
  <w:style w:type="paragraph" w:customStyle="1" w:styleId="TabbedL6">
    <w:name w:val="Tabbed_L6"/>
    <w:basedOn w:val="TabbedL5"/>
    <w:next w:val="Normal"/>
    <w:uiPriority w:val="99"/>
    <w:rsid w:val="00852685"/>
    <w:pPr>
      <w:numPr>
        <w:ilvl w:val="5"/>
      </w:numPr>
      <w:outlineLvl w:val="5"/>
    </w:pPr>
  </w:style>
  <w:style w:type="paragraph" w:customStyle="1" w:styleId="TabbedL7">
    <w:name w:val="Tabbed_L7"/>
    <w:basedOn w:val="TabbedL6"/>
    <w:next w:val="Normal"/>
    <w:uiPriority w:val="99"/>
    <w:rsid w:val="00852685"/>
    <w:pPr>
      <w:numPr>
        <w:ilvl w:val="6"/>
      </w:numPr>
      <w:outlineLvl w:val="6"/>
    </w:pPr>
  </w:style>
  <w:style w:type="paragraph" w:customStyle="1" w:styleId="TabbedL8">
    <w:name w:val="Tabbed_L8"/>
    <w:basedOn w:val="TabbedL7"/>
    <w:next w:val="Normal"/>
    <w:uiPriority w:val="99"/>
    <w:rsid w:val="00852685"/>
    <w:pPr>
      <w:numPr>
        <w:ilvl w:val="7"/>
      </w:numPr>
      <w:outlineLvl w:val="7"/>
    </w:pPr>
  </w:style>
  <w:style w:type="paragraph" w:customStyle="1" w:styleId="TabbedL9">
    <w:name w:val="Tabbed_L9"/>
    <w:basedOn w:val="TabbedL8"/>
    <w:next w:val="Normal"/>
    <w:uiPriority w:val="99"/>
    <w:rsid w:val="00852685"/>
    <w:pPr>
      <w:numPr>
        <w:ilvl w:val="8"/>
      </w:numPr>
      <w:outlineLvl w:val="8"/>
    </w:pPr>
  </w:style>
  <w:style w:type="character" w:customStyle="1" w:styleId="Heading6Char">
    <w:name w:val="Heading 6 Char"/>
    <w:basedOn w:val="DefaultParagraphFont"/>
    <w:link w:val="Heading6"/>
    <w:uiPriority w:val="9"/>
    <w:semiHidden/>
    <w:rsid w:val="00EC752C"/>
    <w:rPr>
      <w:rFonts w:asciiTheme="majorHAnsi" w:eastAsiaTheme="majorEastAsia" w:hAnsiTheme="majorHAnsi" w:cstheme="majorBidi"/>
      <w:i/>
      <w:iCs/>
      <w:color w:val="243F60" w:themeColor="accent1" w:themeShade="7F"/>
    </w:rPr>
  </w:style>
  <w:style w:type="paragraph" w:customStyle="1" w:styleId="Company-1">
    <w:name w:val="Company-1"/>
    <w:basedOn w:val="Normal"/>
    <w:rsid w:val="00B91A97"/>
    <w:pPr>
      <w:keepLines/>
      <w:tabs>
        <w:tab w:val="left" w:pos="5310"/>
        <w:tab w:val="left" w:pos="9360"/>
      </w:tabs>
      <w:suppressAutoHyphens/>
      <w:spacing w:after="480" w:line="240" w:lineRule="auto"/>
      <w:ind w:left="4680"/>
    </w:pPr>
    <w:rPr>
      <w:rFonts w:ascii="Times New Roman" w:eastAsia="Times New Roman" w:hAnsi="Times New Roman" w:cs="Times New Roman"/>
      <w:sz w:val="24"/>
      <w:szCs w:val="20"/>
    </w:rPr>
  </w:style>
  <w:style w:type="paragraph" w:customStyle="1" w:styleId="LEGALE1">
    <w:name w:val="LEGAL_E 1"/>
    <w:basedOn w:val="Normal"/>
    <w:next w:val="LEGALE2"/>
    <w:rsid w:val="009B4EB0"/>
    <w:pPr>
      <w:keepNext/>
      <w:numPr>
        <w:numId w:val="21"/>
      </w:numPr>
      <w:spacing w:after="240" w:line="240" w:lineRule="auto"/>
      <w:ind w:left="0"/>
      <w:jc w:val="both"/>
      <w:outlineLvl w:val="0"/>
    </w:pPr>
    <w:rPr>
      <w:rFonts w:ascii="Times New Roman" w:eastAsia="Times New Roman" w:hAnsi="Times New Roman" w:cs="Times New Roman"/>
      <w:sz w:val="24"/>
      <w:szCs w:val="24"/>
    </w:rPr>
  </w:style>
  <w:style w:type="paragraph" w:customStyle="1" w:styleId="LEGALE2">
    <w:name w:val="LEGAL_E 2"/>
    <w:basedOn w:val="Normal"/>
    <w:next w:val="LEGALE3"/>
    <w:rsid w:val="009B4EB0"/>
    <w:pPr>
      <w:numPr>
        <w:ilvl w:val="1"/>
        <w:numId w:val="21"/>
      </w:numPr>
      <w:spacing w:after="240" w:line="240" w:lineRule="auto"/>
      <w:jc w:val="both"/>
      <w:outlineLvl w:val="1"/>
    </w:pPr>
    <w:rPr>
      <w:rFonts w:ascii="Times New Roman" w:eastAsia="Times New Roman" w:hAnsi="Times New Roman" w:cs="Times New Roman"/>
      <w:sz w:val="24"/>
      <w:szCs w:val="24"/>
    </w:rPr>
  </w:style>
  <w:style w:type="paragraph" w:customStyle="1" w:styleId="LEGALE3">
    <w:name w:val="LEGAL_E 3"/>
    <w:basedOn w:val="Normal"/>
    <w:rsid w:val="009B4EB0"/>
    <w:pPr>
      <w:numPr>
        <w:ilvl w:val="2"/>
        <w:numId w:val="21"/>
      </w:numPr>
      <w:spacing w:after="240" w:line="240" w:lineRule="auto"/>
      <w:ind w:left="0"/>
      <w:jc w:val="both"/>
      <w:outlineLvl w:val="2"/>
    </w:pPr>
    <w:rPr>
      <w:rFonts w:ascii="Times New Roman" w:eastAsia="Times New Roman" w:hAnsi="Times New Roman" w:cs="Times New Roman"/>
      <w:sz w:val="24"/>
      <w:szCs w:val="24"/>
    </w:rPr>
  </w:style>
  <w:style w:type="paragraph" w:customStyle="1" w:styleId="LEGALE4">
    <w:name w:val="LEGAL_E 4"/>
    <w:basedOn w:val="Normal"/>
    <w:rsid w:val="009B4EB0"/>
    <w:pPr>
      <w:numPr>
        <w:ilvl w:val="3"/>
        <w:numId w:val="21"/>
      </w:numPr>
      <w:spacing w:after="240" w:line="240" w:lineRule="auto"/>
      <w:ind w:left="0"/>
      <w:jc w:val="both"/>
      <w:outlineLvl w:val="3"/>
    </w:pPr>
    <w:rPr>
      <w:rFonts w:ascii="Times New Roman" w:eastAsia="Times New Roman" w:hAnsi="Times New Roman" w:cs="Times New Roman"/>
      <w:sz w:val="24"/>
      <w:szCs w:val="24"/>
    </w:rPr>
  </w:style>
  <w:style w:type="paragraph" w:customStyle="1" w:styleId="LEGALE5">
    <w:name w:val="LEGAL_E 5"/>
    <w:basedOn w:val="Normal"/>
    <w:next w:val="Normal"/>
    <w:rsid w:val="009B4EB0"/>
    <w:pPr>
      <w:widowControl w:val="0"/>
      <w:numPr>
        <w:ilvl w:val="4"/>
        <w:numId w:val="21"/>
      </w:numPr>
      <w:tabs>
        <w:tab w:val="num" w:pos="1000"/>
      </w:tabs>
      <w:spacing w:after="240" w:line="240" w:lineRule="auto"/>
      <w:ind w:left="1008"/>
      <w:outlineLvl w:val="4"/>
    </w:pPr>
    <w:rPr>
      <w:rFonts w:ascii="Times New Roman" w:eastAsia="Times New Roman" w:hAnsi="Times New Roman" w:cs="Times New Roman"/>
      <w:sz w:val="24"/>
      <w:szCs w:val="24"/>
    </w:rPr>
  </w:style>
  <w:style w:type="paragraph" w:customStyle="1" w:styleId="LEGALE6">
    <w:name w:val="LEGAL_E 6"/>
    <w:basedOn w:val="Normal"/>
    <w:next w:val="Normal"/>
    <w:rsid w:val="009B4EB0"/>
    <w:pPr>
      <w:widowControl w:val="0"/>
      <w:numPr>
        <w:ilvl w:val="5"/>
        <w:numId w:val="21"/>
      </w:numPr>
      <w:tabs>
        <w:tab w:val="num" w:pos="1160"/>
      </w:tabs>
      <w:spacing w:after="240" w:line="240" w:lineRule="auto"/>
      <w:ind w:left="1152"/>
      <w:outlineLvl w:val="5"/>
    </w:pPr>
    <w:rPr>
      <w:rFonts w:ascii="Times New Roman" w:eastAsia="Times New Roman" w:hAnsi="Times New Roman" w:cs="Times New Roman"/>
      <w:sz w:val="24"/>
      <w:szCs w:val="24"/>
    </w:rPr>
  </w:style>
  <w:style w:type="paragraph" w:customStyle="1" w:styleId="LEGALE7">
    <w:name w:val="LEGAL_E 7"/>
    <w:basedOn w:val="Normal"/>
    <w:next w:val="Normal"/>
    <w:rsid w:val="009B4EB0"/>
    <w:pPr>
      <w:numPr>
        <w:ilvl w:val="6"/>
        <w:numId w:val="21"/>
      </w:numPr>
      <w:spacing w:before="240" w:after="60" w:line="240" w:lineRule="auto"/>
      <w:ind w:left="0"/>
      <w:outlineLvl w:val="6"/>
    </w:pPr>
    <w:rPr>
      <w:rFonts w:ascii="Arial" w:eastAsia="Times New Roman" w:hAnsi="Arial" w:cs="Arial"/>
      <w:sz w:val="20"/>
      <w:szCs w:val="24"/>
    </w:rPr>
  </w:style>
  <w:style w:type="paragraph" w:customStyle="1" w:styleId="LEGALE8">
    <w:name w:val="LEGAL_E 8"/>
    <w:basedOn w:val="Normal"/>
    <w:next w:val="Normal"/>
    <w:rsid w:val="009B4EB0"/>
    <w:pPr>
      <w:numPr>
        <w:ilvl w:val="7"/>
        <w:numId w:val="21"/>
      </w:numPr>
      <w:spacing w:before="240" w:after="60" w:line="240" w:lineRule="auto"/>
      <w:ind w:left="0"/>
      <w:outlineLvl w:val="7"/>
    </w:pPr>
    <w:rPr>
      <w:rFonts w:ascii="Arial" w:eastAsia="Times New Roman" w:hAnsi="Arial" w:cs="Arial"/>
      <w:i/>
      <w:sz w:val="20"/>
      <w:szCs w:val="24"/>
    </w:rPr>
  </w:style>
  <w:style w:type="paragraph" w:customStyle="1" w:styleId="LEGALE9">
    <w:name w:val="LEGAL_E 9"/>
    <w:basedOn w:val="Normal"/>
    <w:next w:val="Normal"/>
    <w:rsid w:val="009B4EB0"/>
    <w:pPr>
      <w:numPr>
        <w:ilvl w:val="8"/>
        <w:numId w:val="21"/>
      </w:numPr>
      <w:spacing w:before="240" w:after="60" w:line="240" w:lineRule="auto"/>
      <w:ind w:left="0"/>
      <w:outlineLvl w:val="8"/>
    </w:pPr>
    <w:rPr>
      <w:rFonts w:ascii="Arial" w:eastAsia="Times New Roman" w:hAnsi="Arial" w:cs="Arial"/>
      <w:b/>
      <w:i/>
      <w:sz w:val="18"/>
      <w:szCs w:val="24"/>
    </w:rPr>
  </w:style>
  <w:style w:type="paragraph" w:customStyle="1" w:styleId="Section11">
    <w:name w:val="Section 1.1"/>
    <w:rsid w:val="00AB6AC5"/>
    <w:pPr>
      <w:spacing w:after="0" w:line="240" w:lineRule="auto"/>
    </w:pPr>
    <w:rPr>
      <w:rFonts w:ascii="Times New" w:eastAsia="Times New Roman" w:hAnsi="Times New" w:cs="Times New Roman"/>
      <w:snapToGrid w:val="0"/>
      <w:sz w:val="24"/>
      <w:szCs w:val="20"/>
    </w:rPr>
  </w:style>
  <w:style w:type="character" w:styleId="CommentReference">
    <w:name w:val="annotation reference"/>
    <w:basedOn w:val="DefaultParagraphFont"/>
    <w:uiPriority w:val="99"/>
    <w:semiHidden/>
    <w:unhideWhenUsed/>
    <w:rsid w:val="00BB6188"/>
    <w:rPr>
      <w:sz w:val="16"/>
      <w:szCs w:val="16"/>
    </w:rPr>
  </w:style>
  <w:style w:type="paragraph" w:styleId="CommentText">
    <w:name w:val="annotation text"/>
    <w:basedOn w:val="Normal"/>
    <w:link w:val="CommentTextChar"/>
    <w:uiPriority w:val="99"/>
    <w:semiHidden/>
    <w:unhideWhenUsed/>
    <w:rsid w:val="00BB6188"/>
    <w:pPr>
      <w:spacing w:line="240" w:lineRule="auto"/>
    </w:pPr>
    <w:rPr>
      <w:sz w:val="20"/>
      <w:szCs w:val="20"/>
    </w:rPr>
  </w:style>
  <w:style w:type="character" w:customStyle="1" w:styleId="CommentTextChar">
    <w:name w:val="Comment Text Char"/>
    <w:basedOn w:val="DefaultParagraphFont"/>
    <w:link w:val="CommentText"/>
    <w:uiPriority w:val="99"/>
    <w:semiHidden/>
    <w:rsid w:val="00BB6188"/>
    <w:rPr>
      <w:sz w:val="20"/>
      <w:szCs w:val="20"/>
    </w:rPr>
  </w:style>
  <w:style w:type="paragraph" w:styleId="CommentSubject">
    <w:name w:val="annotation subject"/>
    <w:basedOn w:val="CommentText"/>
    <w:next w:val="CommentText"/>
    <w:link w:val="CommentSubjectChar"/>
    <w:uiPriority w:val="99"/>
    <w:semiHidden/>
    <w:unhideWhenUsed/>
    <w:rsid w:val="00BB6188"/>
    <w:rPr>
      <w:b/>
      <w:bCs/>
    </w:rPr>
  </w:style>
  <w:style w:type="character" w:customStyle="1" w:styleId="CommentSubjectChar">
    <w:name w:val="Comment Subject Char"/>
    <w:basedOn w:val="CommentTextChar"/>
    <w:link w:val="CommentSubject"/>
    <w:uiPriority w:val="99"/>
    <w:semiHidden/>
    <w:rsid w:val="00BB61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827067">
      <w:bodyDiv w:val="1"/>
      <w:marLeft w:val="0"/>
      <w:marRight w:val="0"/>
      <w:marTop w:val="0"/>
      <w:marBottom w:val="0"/>
      <w:divBdr>
        <w:top w:val="none" w:sz="0" w:space="0" w:color="auto"/>
        <w:left w:val="none" w:sz="0" w:space="0" w:color="auto"/>
        <w:bottom w:val="none" w:sz="0" w:space="0" w:color="auto"/>
        <w:right w:val="none" w:sz="0" w:space="0" w:color="auto"/>
      </w:divBdr>
    </w:div>
    <w:div w:id="382560025">
      <w:bodyDiv w:val="1"/>
      <w:marLeft w:val="0"/>
      <w:marRight w:val="0"/>
      <w:marTop w:val="0"/>
      <w:marBottom w:val="0"/>
      <w:divBdr>
        <w:top w:val="none" w:sz="0" w:space="0" w:color="auto"/>
        <w:left w:val="none" w:sz="0" w:space="0" w:color="auto"/>
        <w:bottom w:val="none" w:sz="0" w:space="0" w:color="auto"/>
        <w:right w:val="none" w:sz="0" w:space="0" w:color="auto"/>
      </w:divBdr>
    </w:div>
    <w:div w:id="1072123067">
      <w:bodyDiv w:val="1"/>
      <w:marLeft w:val="0"/>
      <w:marRight w:val="0"/>
      <w:marTop w:val="0"/>
      <w:marBottom w:val="0"/>
      <w:divBdr>
        <w:top w:val="none" w:sz="0" w:space="0" w:color="auto"/>
        <w:left w:val="none" w:sz="0" w:space="0" w:color="auto"/>
        <w:bottom w:val="none" w:sz="0" w:space="0" w:color="auto"/>
        <w:right w:val="none" w:sz="0" w:space="0" w:color="auto"/>
      </w:divBdr>
    </w:div>
    <w:div w:id="1348172630">
      <w:bodyDiv w:val="1"/>
      <w:marLeft w:val="0"/>
      <w:marRight w:val="0"/>
      <w:marTop w:val="0"/>
      <w:marBottom w:val="0"/>
      <w:divBdr>
        <w:top w:val="none" w:sz="0" w:space="0" w:color="auto"/>
        <w:left w:val="none" w:sz="0" w:space="0" w:color="auto"/>
        <w:bottom w:val="none" w:sz="0" w:space="0" w:color="auto"/>
        <w:right w:val="none" w:sz="0" w:space="0" w:color="auto"/>
      </w:divBdr>
    </w:div>
    <w:div w:id="1606572397">
      <w:bodyDiv w:val="1"/>
      <w:marLeft w:val="0"/>
      <w:marRight w:val="0"/>
      <w:marTop w:val="0"/>
      <w:marBottom w:val="0"/>
      <w:divBdr>
        <w:top w:val="none" w:sz="0" w:space="0" w:color="auto"/>
        <w:left w:val="none" w:sz="0" w:space="0" w:color="auto"/>
        <w:bottom w:val="none" w:sz="0" w:space="0" w:color="auto"/>
        <w:right w:val="none" w:sz="0" w:space="0" w:color="auto"/>
      </w:divBdr>
    </w:div>
    <w:div w:id="1821462717">
      <w:bodyDiv w:val="1"/>
      <w:marLeft w:val="0"/>
      <w:marRight w:val="0"/>
      <w:marTop w:val="0"/>
      <w:marBottom w:val="0"/>
      <w:divBdr>
        <w:top w:val="none" w:sz="0" w:space="0" w:color="auto"/>
        <w:left w:val="none" w:sz="0" w:space="0" w:color="auto"/>
        <w:bottom w:val="none" w:sz="0" w:space="0" w:color="auto"/>
        <w:right w:val="none" w:sz="0" w:space="0" w:color="auto"/>
      </w:divBdr>
    </w:div>
    <w:div w:id="211551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3868</Words>
  <Characters>22050</Characters>
  <Application>Microsoft Office Word</Application>
  <DocSecurity>0</DocSecurity>
  <Lines>183</Lines>
  <Paragraphs>51</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Participation RIGHT.</vt:lpstr>
      <vt:lpstr>    General.  Each Stockholder has the right of first refusal to purchase such Stock</vt:lpstr>
      <vt:lpstr>    New Securities.  “New Securities” shall mean any Common Stock or Preferred Stock</vt:lpstr>
      <vt:lpstr>    Procedures.  In the event that the Company proposes to undertake an issuance of </vt:lpstr>
      <vt:lpstr>    Failure to Exercise.  In the event that the Stockholders fail to exercise in ful</vt:lpstr>
      <vt:lpstr>TRANSFER OF SHARES. </vt:lpstr>
      <vt:lpstr>    Restrictions on Transfer. In addition to any other limitations on transfer creat</vt:lpstr>
      <vt:lpstr>    Notice of Sales. Should any Stockholder (the “Selling Stockholder”) propose to a</vt:lpstr>
      <vt:lpstr>    Company’s Right of First Refusal. The Company and its assignees have a right of </vt:lpstr>
      <vt:lpstr>    Stockholders’ Right of Secondary Refusal. If the Company does not exercise its R</vt:lpstr>
      <vt:lpstr>        Each Stockholder desiring to purchase any or all of the Offered Stock must, with</vt:lpstr>
      <vt:lpstr>        Within ten (10) days after expiration of the Stockholder Refusal Period, the Com</vt:lpstr>
      <vt:lpstr>    Purchase Price. The purchase price for the Offered Stock to be purchased by the </vt:lpstr>
      <vt:lpstr>    Payment.  Payment of the purchase price for Offered Stock purchased by the Compa</vt:lpstr>
      <vt:lpstr>    Rights of Stockholder.  Upon the date that payment is made for the Offered Stock</vt:lpstr>
      <vt:lpstr>    Selling Stockholder’s Right to Transfer.  If the Stockholders have not elected p</vt:lpstr>
      <vt:lpstr>    Termination of Right of First Refusal and Right of Secondary Refusal. The Compan</vt:lpstr>
      <vt:lpstr>    Restrictive Legends and Stop-Transfer Orders.</vt:lpstr>
      <vt:lpstr>        Legends.  Any certificate or certificates representing the Shares shall bear the</vt:lpstr>
      <vt:lpstr>THE SHARES REPRESENTED BY THIS CERTIFICATE MAY BE TRANSFERRED ONLY IN ACCORDANCE</vt:lpstr>
      <vt:lpstr>        Void Transfers. Any attempted transfer in violation of this Section 2 shall be v</vt:lpstr>
      <vt:lpstr>        Stop-Transfer Notices. Each Stockholder agrees that, in order to ensure complian</vt:lpstr>
      <vt:lpstr>        Refusal to Transfer. The Company shall not be required (i) to transfer on its bo</vt:lpstr>
      <vt:lpstr>LOCKUP AGREEMENT.</vt:lpstr>
      <vt:lpstr>    “Market Stand-Off” Agreement.  </vt:lpstr>
      <vt:lpstr>        Each Stockholder hereby agrees that such Stockholder will not, without the prior</vt:lpstr>
      <vt:lpstr>        In order to enforce the foregoing covenant, the Company may impose stop-transfer</vt:lpstr>
      <vt:lpstr>GENERAL PROVISIONS.</vt:lpstr>
      <vt:lpstr>    Termination. This Agreement (excluding any then-existing obligations) shall term</vt:lpstr>
      <vt:lpstr>    Amendment and Waiver of Rights.  Any provision of this Agreement may be amended </vt:lpstr>
      <vt:lpstr>    Additional Stockholders. Notwithstanding anything to the contrary contained here</vt:lpstr>
      <vt:lpstr>    Notices.  All notices and other communications given or made pursuant to this Ag</vt:lpstr>
      <vt:lpstr>    Entire Agreement.  This Agreement and the documents referred to herein, together</vt:lpstr>
      <vt:lpstr>    Governing Law.  This Agreement shall be governed by, and construed in accordance</vt:lpstr>
      <vt:lpstr>    Severability. The invalidity or unenforceability of any provision hereof shall i</vt:lpstr>
      <vt:lpstr>    Third Parties.  Nothing in this Agreement, express or implied, is intended to co</vt:lpstr>
      <vt:lpstr>    Successors and Assigns.  This Agreement, and any and all rights, duties and obli</vt:lpstr>
      <vt:lpstr>    Titles and Headings.  The titles, captions and headings of this Agreement are in</vt:lpstr>
      <vt:lpstr>    Counterparts.  This Agreement may be executed in two or more counterparts, each </vt:lpstr>
      <vt:lpstr>    Costs and Attorneys’ Fees.  In the event that any action, suit or other proceedi</vt:lpstr>
      <vt:lpstr>    Further Assurances. The parties agree to execute such further documents and inst</vt:lpstr>
    </vt:vector>
  </TitlesOfParts>
  <LinksUpToDate>false</LinksUpToDate>
  <CharactersWithSpaces>25867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2020-06-26T21:10:00Z</dcterms:created>
  <dcterms:modified xsi:type="dcterms:W3CDTF">2021-07-05T20:18:00Z</dcterms:modified>
</cp:coreProperties>
</file>