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C847D" w14:textId="66B98EF1" w:rsidR="006C501D" w:rsidRDefault="00117C4C" w:rsidP="009D63DD">
      <w:pPr>
        <w:pStyle w:val="O-TITLECENTEREDB"/>
        <w:rPr>
          <w:u w:val="single"/>
        </w:rPr>
      </w:pPr>
      <w:r>
        <w:t>[</w:t>
      </w:r>
      <w:r w:rsidRPr="00117C4C">
        <w:rPr>
          <w:highlight w:val="yellow"/>
        </w:rPr>
        <w:t>name of the company</w:t>
      </w:r>
      <w:r>
        <w:t>]</w:t>
      </w:r>
    </w:p>
    <w:p w14:paraId="1383A161" w14:textId="77777777" w:rsidR="006C501D" w:rsidRDefault="006C501D" w:rsidP="009D63DD">
      <w:pPr>
        <w:pStyle w:val="DocumentTitle"/>
        <w:rPr>
          <w:u w:val="single"/>
        </w:rPr>
      </w:pPr>
      <w:r>
        <w:rPr>
          <w:u w:val="single"/>
        </w:rPr>
        <w:t>Assignment of IP and other Assets</w:t>
      </w:r>
    </w:p>
    <w:p w14:paraId="3BD2C45B" w14:textId="1E578055" w:rsidR="006C501D" w:rsidRPr="00615222" w:rsidRDefault="006C501D" w:rsidP="009D63DD">
      <w:pPr>
        <w:pStyle w:val="O-BodyText5"/>
        <w:jc w:val="both"/>
        <w:rPr>
          <w:szCs w:val="24"/>
        </w:rPr>
      </w:pPr>
      <w:r>
        <w:t>This Assignment of IP and Other Assets (this “</w:t>
      </w:r>
      <w:r w:rsidRPr="009D63DD">
        <w:rPr>
          <w:b/>
          <w:bCs/>
          <w:i/>
          <w:iCs/>
          <w:szCs w:val="24"/>
        </w:rPr>
        <w:t>Agreement</w:t>
      </w:r>
      <w:r>
        <w:t xml:space="preserve">”) is made and entered into effective as </w:t>
      </w:r>
      <w:r w:rsidRPr="00615222">
        <w:rPr>
          <w:szCs w:val="24"/>
        </w:rPr>
        <w:t>o</w:t>
      </w:r>
      <w:r w:rsidR="00432ACB">
        <w:rPr>
          <w:szCs w:val="24"/>
        </w:rPr>
        <w:t xml:space="preserve">f </w:t>
      </w:r>
      <w:r w:rsidR="00671BDC" w:rsidRPr="00671BDC">
        <w:rPr>
          <w:szCs w:val="24"/>
          <w:highlight w:val="yellow"/>
        </w:rPr>
        <w:t>DATE</w:t>
      </w:r>
      <w:r w:rsidRPr="00615222">
        <w:rPr>
          <w:szCs w:val="24"/>
        </w:rPr>
        <w:t xml:space="preserve"> (this “</w:t>
      </w:r>
      <w:r w:rsidRPr="009D63DD">
        <w:rPr>
          <w:b/>
          <w:bCs/>
          <w:i/>
          <w:iCs/>
          <w:szCs w:val="24"/>
        </w:rPr>
        <w:t>Effective Date</w:t>
      </w:r>
      <w:r w:rsidRPr="00615222">
        <w:rPr>
          <w:szCs w:val="24"/>
        </w:rPr>
        <w:t xml:space="preserve">”) by and between </w:t>
      </w:r>
      <w:r w:rsidR="00117C4C">
        <w:rPr>
          <w:szCs w:val="24"/>
        </w:rPr>
        <w:t>[</w:t>
      </w:r>
      <w:r w:rsidR="00117C4C" w:rsidRPr="00117C4C">
        <w:rPr>
          <w:szCs w:val="24"/>
          <w:highlight w:val="yellow"/>
        </w:rPr>
        <w:t>NAME OF THE COMPANY</w:t>
      </w:r>
      <w:r w:rsidR="00117C4C">
        <w:rPr>
          <w:szCs w:val="24"/>
        </w:rPr>
        <w:t>]</w:t>
      </w:r>
      <w:r w:rsidR="00E572E4" w:rsidRPr="00615222">
        <w:rPr>
          <w:szCs w:val="24"/>
        </w:rPr>
        <w:t>, a Delaware corporation</w:t>
      </w:r>
      <w:r w:rsidRPr="00615222">
        <w:rPr>
          <w:szCs w:val="24"/>
        </w:rPr>
        <w:t xml:space="preserve"> (the “</w:t>
      </w:r>
      <w:r w:rsidRPr="009D63DD">
        <w:rPr>
          <w:b/>
          <w:bCs/>
          <w:i/>
          <w:iCs/>
          <w:szCs w:val="24"/>
        </w:rPr>
        <w:t>Company</w:t>
      </w:r>
      <w:r w:rsidRPr="00615222">
        <w:rPr>
          <w:szCs w:val="24"/>
        </w:rPr>
        <w:t xml:space="preserve">”), and </w:t>
      </w:r>
      <w:r w:rsidR="0071451E">
        <w:rPr>
          <w:szCs w:val="24"/>
        </w:rPr>
        <w:t>[</w:t>
      </w:r>
      <w:r w:rsidR="0071451E" w:rsidRPr="0071451E">
        <w:rPr>
          <w:szCs w:val="24"/>
          <w:highlight w:val="yellow"/>
        </w:rPr>
        <w:t>NAME OF THE ASSIGNOR</w:t>
      </w:r>
      <w:r w:rsidR="0071451E">
        <w:rPr>
          <w:szCs w:val="24"/>
        </w:rPr>
        <w:t>]</w:t>
      </w:r>
      <w:r w:rsidR="00671BDC" w:rsidRPr="00615222">
        <w:rPr>
          <w:noProof/>
          <w:szCs w:val="24"/>
        </w:rPr>
        <w:t xml:space="preserve"> </w:t>
      </w:r>
      <w:r w:rsidRPr="00615222">
        <w:rPr>
          <w:noProof/>
          <w:szCs w:val="24"/>
        </w:rPr>
        <w:t>(the “</w:t>
      </w:r>
      <w:r w:rsidRPr="009D63DD">
        <w:rPr>
          <w:b/>
          <w:bCs/>
          <w:i/>
          <w:iCs/>
          <w:szCs w:val="24"/>
        </w:rPr>
        <w:t>Assignor</w:t>
      </w:r>
      <w:r w:rsidRPr="00615222">
        <w:rPr>
          <w:noProof/>
          <w:szCs w:val="24"/>
        </w:rPr>
        <w:t>”)</w:t>
      </w:r>
      <w:r w:rsidRPr="00615222">
        <w:rPr>
          <w:szCs w:val="24"/>
        </w:rPr>
        <w:t>.</w:t>
      </w:r>
    </w:p>
    <w:p w14:paraId="1FC3A0CA" w14:textId="51480982" w:rsidR="006C501D" w:rsidRPr="00615222" w:rsidRDefault="006C501D" w:rsidP="009D63DD">
      <w:pPr>
        <w:pStyle w:val="O-BodyText5"/>
        <w:jc w:val="both"/>
        <w:rPr>
          <w:szCs w:val="24"/>
        </w:rPr>
      </w:pPr>
      <w:r w:rsidRPr="00615222">
        <w:rPr>
          <w:szCs w:val="24"/>
        </w:rPr>
        <w:t>WHEREAS, prior to the Effective Date, the Assignor has developed certain technology and intellectual property on behalf of the Company and has developed or acquired other tangible personal property, as further described below, which relate to the Company’s actual and proposed business associated with</w:t>
      </w:r>
      <w:r w:rsidR="00615222" w:rsidRPr="00615222">
        <w:rPr>
          <w:szCs w:val="24"/>
        </w:rPr>
        <w:t xml:space="preserve"> </w:t>
      </w:r>
      <w:r w:rsidR="00671BDC">
        <w:rPr>
          <w:szCs w:val="24"/>
        </w:rPr>
        <w:t xml:space="preserve">a </w:t>
      </w:r>
      <w:r w:rsidR="0071451E">
        <w:rPr>
          <w:szCs w:val="24"/>
        </w:rPr>
        <w:t>[</w:t>
      </w:r>
      <w:r w:rsidR="0071451E" w:rsidRPr="0071451E">
        <w:rPr>
          <w:szCs w:val="24"/>
          <w:highlight w:val="yellow"/>
        </w:rPr>
        <w:t>DESCRIPTION OF BUSINESS</w:t>
      </w:r>
      <w:r w:rsidR="0071451E">
        <w:rPr>
          <w:szCs w:val="24"/>
        </w:rPr>
        <w:t>]</w:t>
      </w:r>
      <w:r w:rsidR="00BA6C94">
        <w:rPr>
          <w:szCs w:val="24"/>
        </w:rPr>
        <w:t xml:space="preserve"> </w:t>
      </w:r>
      <w:r w:rsidRPr="00615222">
        <w:rPr>
          <w:szCs w:val="24"/>
        </w:rPr>
        <w:t>(the “</w:t>
      </w:r>
      <w:r w:rsidRPr="009D63DD">
        <w:rPr>
          <w:b/>
          <w:bCs/>
          <w:i/>
          <w:iCs/>
          <w:szCs w:val="24"/>
        </w:rPr>
        <w:t>Business</w:t>
      </w:r>
      <w:r w:rsidRPr="00615222">
        <w:rPr>
          <w:szCs w:val="24"/>
        </w:rPr>
        <w:t>”);</w:t>
      </w:r>
    </w:p>
    <w:p w14:paraId="2EFC3508" w14:textId="13DCF10E" w:rsidR="006C501D" w:rsidRPr="0039472D" w:rsidRDefault="006C501D" w:rsidP="009D63DD">
      <w:pPr>
        <w:pStyle w:val="O-BodyText5"/>
        <w:jc w:val="both"/>
      </w:pPr>
      <w:r w:rsidRPr="00615222">
        <w:rPr>
          <w:szCs w:val="24"/>
        </w:rPr>
        <w:t>WHEREAS, the Assignor desires such technology and intellectual property and other tangible personal property to be assigned</w:t>
      </w:r>
      <w:r>
        <w:t xml:space="preserve"> to and owned by the Company, in exchange for </w:t>
      </w:r>
      <w:r w:rsidR="00385D94">
        <w:t>issuance of shares of capital stock of the Company</w:t>
      </w:r>
      <w:r>
        <w:t>;</w:t>
      </w:r>
    </w:p>
    <w:p w14:paraId="1C8B50F8" w14:textId="77777777" w:rsidR="006C501D" w:rsidRDefault="006C501D" w:rsidP="009D63DD">
      <w:pPr>
        <w:pStyle w:val="O-BodyText5"/>
        <w:jc w:val="both"/>
      </w:pPr>
      <w:r>
        <w:t>NOW THEREFORE, in consideration of the foregoing and for other good and valuable consideration, the receipt and sufficiency of which are hereby acknowledged, the parties to this Agreement hereby agree as follows:</w:t>
      </w:r>
    </w:p>
    <w:p w14:paraId="27AE0480" w14:textId="77777777" w:rsidR="006C501D" w:rsidRDefault="006C501D" w:rsidP="009D63DD">
      <w:pPr>
        <w:pStyle w:val="TabbedL1"/>
        <w:tabs>
          <w:tab w:val="clear" w:pos="720"/>
          <w:tab w:val="left" w:pos="1440"/>
        </w:tabs>
        <w:ind w:left="0" w:firstLine="720"/>
        <w:jc w:val="both"/>
      </w:pPr>
      <w:r>
        <w:t>1.</w:t>
      </w:r>
      <w:r>
        <w:tab/>
      </w:r>
      <w:r>
        <w:rPr>
          <w:b/>
          <w:u w:val="single"/>
        </w:rPr>
        <w:t>Certain Definitions</w:t>
      </w:r>
      <w:r>
        <w:rPr>
          <w:b/>
        </w:rPr>
        <w:t>.</w:t>
      </w:r>
      <w:r>
        <w:t xml:space="preserve">  As used herein, the following capitalized terms will have the meanings set forth below:</w:t>
      </w:r>
    </w:p>
    <w:p w14:paraId="59EF6423" w14:textId="77777777" w:rsidR="006C501D" w:rsidRDefault="006C501D" w:rsidP="009D63DD">
      <w:pPr>
        <w:pStyle w:val="TabbedL2"/>
        <w:numPr>
          <w:ilvl w:val="0"/>
          <w:numId w:val="0"/>
        </w:numPr>
        <w:tabs>
          <w:tab w:val="left" w:pos="2160"/>
        </w:tabs>
        <w:ind w:firstLine="1440"/>
        <w:jc w:val="both"/>
      </w:pPr>
      <w:r>
        <w:t>(a)</w:t>
      </w:r>
      <w:r>
        <w:tab/>
        <w:t>“</w:t>
      </w:r>
      <w:r>
        <w:rPr>
          <w:u w:val="single"/>
        </w:rPr>
        <w:t>Technology</w:t>
      </w:r>
      <w:r>
        <w:t>” means all inventions, technology, ideas, concepts, processes, business plans, documentation, financial projections, models and any other items, authored, conceived, invented, developed or designed by the Assignor relating to the technology or Business of the Company that is not otherwise owned by the Company.</w:t>
      </w:r>
    </w:p>
    <w:p w14:paraId="4FE1710D" w14:textId="77777777" w:rsidR="006C501D" w:rsidRDefault="006C501D" w:rsidP="009D63DD">
      <w:pPr>
        <w:pStyle w:val="TabbedL2"/>
        <w:numPr>
          <w:ilvl w:val="0"/>
          <w:numId w:val="0"/>
        </w:numPr>
        <w:tabs>
          <w:tab w:val="left" w:pos="2160"/>
        </w:tabs>
        <w:ind w:firstLine="1440"/>
        <w:jc w:val="both"/>
      </w:pPr>
      <w:r>
        <w:t>(b)</w:t>
      </w:r>
      <w:r>
        <w:tab/>
        <w:t>“</w:t>
      </w:r>
      <w:r>
        <w:rPr>
          <w:u w:val="single"/>
        </w:rPr>
        <w:t>Derivative</w:t>
      </w:r>
      <w:r>
        <w:t>” means: (i) any derivative work of the Technology (as defined in Section 101 of the U.S. Copyright Act); (ii) all improvements, modifications, alterations, adaptations, enhancements and new versions of the Technology (the “</w:t>
      </w:r>
      <w:r w:rsidRPr="009D63DD">
        <w:rPr>
          <w:b/>
          <w:bCs/>
          <w:i/>
          <w:iCs/>
          <w:szCs w:val="24"/>
        </w:rPr>
        <w:t>Technology Derivatives</w:t>
      </w:r>
      <w:r>
        <w:t>”); and (iii) all technology, inventions, products or other items that, directly or indirectly, incorporate, or are derived from, any part of the Technology or any Technology Derivative.</w:t>
      </w:r>
    </w:p>
    <w:p w14:paraId="16BACD80" w14:textId="77777777" w:rsidR="006C501D" w:rsidRDefault="006C501D" w:rsidP="009D63DD">
      <w:pPr>
        <w:pStyle w:val="TabbedL2"/>
        <w:numPr>
          <w:ilvl w:val="0"/>
          <w:numId w:val="0"/>
        </w:numPr>
        <w:tabs>
          <w:tab w:val="left" w:pos="2160"/>
        </w:tabs>
        <w:ind w:firstLine="1440"/>
        <w:jc w:val="both"/>
      </w:pPr>
      <w:r>
        <w:t>(c)</w:t>
      </w:r>
      <w:r>
        <w:tab/>
        <w:t>“</w:t>
      </w:r>
      <w:r>
        <w:rPr>
          <w:u w:val="single"/>
        </w:rPr>
        <w:t>Intellectual Property Rights</w:t>
      </w:r>
      <w:r>
        <w:t>” means, collectively, all worldwide patents, patent applications, patent rights, copyrights, copyright registrations, moral rights, trade names, trademarks, service marks, domain names and registrations and/or applications for all of the foregoing, trade secrets, know-how, mask work rights, rights in trade dress and packaging, goodwill and all other intellectual property rights and proprietary rights relating in any way to the Technology, any Derivative or any Embodiment, whether arising under the laws of the United States of America or the laws of any other state, country or jurisdiction.</w:t>
      </w:r>
    </w:p>
    <w:p w14:paraId="176A6FCF" w14:textId="77777777" w:rsidR="006C501D" w:rsidRDefault="006C501D" w:rsidP="009D63DD">
      <w:pPr>
        <w:pStyle w:val="TabbedL2"/>
        <w:numPr>
          <w:ilvl w:val="0"/>
          <w:numId w:val="0"/>
        </w:numPr>
        <w:tabs>
          <w:tab w:val="left" w:pos="2160"/>
        </w:tabs>
        <w:ind w:firstLine="1440"/>
        <w:jc w:val="both"/>
      </w:pPr>
      <w:r>
        <w:t>(d)</w:t>
      </w:r>
      <w:r>
        <w:tab/>
        <w:t>“</w:t>
      </w:r>
      <w:r>
        <w:rPr>
          <w:u w:val="single"/>
        </w:rPr>
        <w:t>Embodiment</w:t>
      </w:r>
      <w:r>
        <w:t xml:space="preserve">” means all documentation, drafts, papers, designs, schematics, diagrams, models, prototypes, source and object code (in any form or format and for all hardware platforms), computer-stored data, diskettes, manuscripts and other items describing all or any part of the Technology, any Derivative, any Intellectual Property Rights or any </w:t>
      </w:r>
      <w:r>
        <w:lastRenderedPageBreak/>
        <w:t>information related thereto or in which all of any part of the Technology, any Derivative, any Intellectual Property Right or such information is set forth, embodied, recorded or stored.</w:t>
      </w:r>
    </w:p>
    <w:p w14:paraId="6950168A" w14:textId="77777777" w:rsidR="006C501D" w:rsidRDefault="006C501D" w:rsidP="009D63DD">
      <w:pPr>
        <w:pStyle w:val="TabbedL2"/>
        <w:numPr>
          <w:ilvl w:val="0"/>
          <w:numId w:val="0"/>
        </w:numPr>
        <w:tabs>
          <w:tab w:val="left" w:pos="2160"/>
        </w:tabs>
        <w:ind w:firstLine="1440"/>
        <w:jc w:val="both"/>
      </w:pPr>
      <w:r>
        <w:t>(e)</w:t>
      </w:r>
      <w:r>
        <w:tab/>
        <w:t>“</w:t>
      </w:r>
      <w:r>
        <w:rPr>
          <w:u w:val="single"/>
        </w:rPr>
        <w:t>Business Assets</w:t>
      </w:r>
      <w:r>
        <w:t>” means all business and marketing plans, worldwide marketing rights, software, customer and supplier lists, price lists, mailing lists, customer and supplier records and other confidential or proprietary information relating to the Technology, as well as all computers, office equipment and other tangible personal property owned (i.e., not leased) by Assignor immediately prior to the execution and delivery of this Agreement and primarily used in or otherwise primarily related to the Business</w:t>
      </w:r>
      <w:r w:rsidR="00DD1DE8">
        <w:t xml:space="preserve">, including but not limited to (i) </w:t>
      </w:r>
      <w:r w:rsidR="00D96054">
        <w:t>all d</w:t>
      </w:r>
      <w:r w:rsidR="00D96054" w:rsidRPr="00D96054">
        <w:t>omain names</w:t>
      </w:r>
      <w:r w:rsidR="00D96054">
        <w:t xml:space="preserve"> and trademarks</w:t>
      </w:r>
      <w:r w:rsidR="00D96054" w:rsidRPr="00D96054">
        <w:t xml:space="preserve"> associated with the Company</w:t>
      </w:r>
      <w:r w:rsidR="00D96054">
        <w:t xml:space="preserve"> and/or the Business, (ii) </w:t>
      </w:r>
      <w:r w:rsidR="00D96054" w:rsidRPr="00D96054">
        <w:t xml:space="preserve">web-sites with all internal content associated with the Company or the </w:t>
      </w:r>
      <w:r w:rsidR="00D96054">
        <w:t>Business,</w:t>
      </w:r>
      <w:r w:rsidR="00E572E4">
        <w:t xml:space="preserve"> and</w:t>
      </w:r>
      <w:r w:rsidR="00D96054">
        <w:t xml:space="preserve"> </w:t>
      </w:r>
      <w:r w:rsidR="00DD1DE8">
        <w:t>(i</w:t>
      </w:r>
      <w:r w:rsidR="00D96054">
        <w:t>i</w:t>
      </w:r>
      <w:r w:rsidR="00DD1DE8">
        <w:t xml:space="preserve">i) the source code used in the </w:t>
      </w:r>
      <w:r w:rsidR="00D96054">
        <w:t>Business</w:t>
      </w:r>
      <w:r>
        <w:t>.</w:t>
      </w:r>
    </w:p>
    <w:p w14:paraId="407D8AC4" w14:textId="3763A11B" w:rsidR="006C501D" w:rsidRDefault="006C501D" w:rsidP="009D63DD">
      <w:pPr>
        <w:pStyle w:val="TabbedL2"/>
        <w:numPr>
          <w:ilvl w:val="0"/>
          <w:numId w:val="0"/>
        </w:numPr>
        <w:tabs>
          <w:tab w:val="left" w:pos="2160"/>
        </w:tabs>
        <w:ind w:firstLine="1440"/>
        <w:jc w:val="both"/>
      </w:pPr>
      <w:r>
        <w:t>(f)</w:t>
      </w:r>
      <w:r>
        <w:tab/>
        <w:t>“</w:t>
      </w:r>
      <w:r>
        <w:rPr>
          <w:u w:val="single"/>
        </w:rPr>
        <w:t>Assigned Assets</w:t>
      </w:r>
      <w:r>
        <w:t xml:space="preserve">” </w:t>
      </w:r>
      <w:r w:rsidR="0015202C">
        <w:t>refers to the Technology, the “exclusive right</w:t>
      </w:r>
      <w:r w:rsidR="00D1608B">
        <w:t>s</w:t>
      </w:r>
      <w:r w:rsidR="0015202C">
        <w:t xml:space="preserve">” </w:t>
      </w:r>
      <w:r w:rsidR="002F3249">
        <w:t>(</w:t>
      </w:r>
      <w:proofErr w:type="spellStart"/>
      <w:r w:rsidR="002F3249">
        <w:rPr>
          <w:i/>
        </w:rPr>
        <w:t>исключительное</w:t>
      </w:r>
      <w:proofErr w:type="spellEnd"/>
      <w:r w:rsidR="002F3249">
        <w:rPr>
          <w:i/>
        </w:rPr>
        <w:t xml:space="preserve"> </w:t>
      </w:r>
      <w:proofErr w:type="spellStart"/>
      <w:r w:rsidR="002F3249">
        <w:rPr>
          <w:i/>
        </w:rPr>
        <w:t>право</w:t>
      </w:r>
      <w:proofErr w:type="spellEnd"/>
      <w:r w:rsidR="002F3249">
        <w:t xml:space="preserve">) </w:t>
      </w:r>
      <w:r w:rsidR="002F3249" w:rsidRPr="007D7A3C">
        <w:t xml:space="preserve">within the meaning of article 1234 of the Russian Civil </w:t>
      </w:r>
      <w:r w:rsidR="00D1608B">
        <w:t>Code</w:t>
      </w:r>
      <w:r w:rsidR="0015202C" w:rsidRPr="007D7A3C">
        <w:t xml:space="preserve"> to the </w:t>
      </w:r>
      <w:r w:rsidR="0015202C">
        <w:t>Technology, all Derivatives, all Intellectual Property Rights, all Embodiments and Business Assets, collectively</w:t>
      </w:r>
      <w:r>
        <w:t>.</w:t>
      </w:r>
    </w:p>
    <w:p w14:paraId="2B416ADB" w14:textId="77777777" w:rsidR="006C501D" w:rsidRDefault="006C501D" w:rsidP="009D63DD">
      <w:pPr>
        <w:pStyle w:val="TabbedL1"/>
        <w:keepNext/>
        <w:tabs>
          <w:tab w:val="clear" w:pos="720"/>
          <w:tab w:val="left" w:pos="1440"/>
        </w:tabs>
        <w:ind w:left="0" w:firstLine="720"/>
        <w:jc w:val="both"/>
      </w:pPr>
      <w:r>
        <w:t>2.</w:t>
      </w:r>
      <w:r>
        <w:tab/>
      </w:r>
      <w:r>
        <w:rPr>
          <w:b/>
          <w:u w:val="single"/>
        </w:rPr>
        <w:t>Assignment</w:t>
      </w:r>
      <w:r>
        <w:rPr>
          <w:b/>
        </w:rPr>
        <w:t>.</w:t>
      </w:r>
    </w:p>
    <w:p w14:paraId="07AD0B62" w14:textId="77777777" w:rsidR="006C501D" w:rsidRDefault="006C501D" w:rsidP="009D63DD">
      <w:pPr>
        <w:pStyle w:val="TabbedL2"/>
        <w:numPr>
          <w:ilvl w:val="0"/>
          <w:numId w:val="0"/>
        </w:numPr>
        <w:tabs>
          <w:tab w:val="left" w:pos="2160"/>
        </w:tabs>
        <w:ind w:firstLine="1440"/>
        <w:jc w:val="both"/>
      </w:pPr>
      <w:r>
        <w:t>(a)</w:t>
      </w:r>
      <w:r>
        <w:tab/>
        <w:t>The Assignor hereby sells, transfers, assigns and conveys, to the Company, and its successors and assigns, the Assignor’s entire right, title and interest in and to the Assigned Assets.</w:t>
      </w:r>
    </w:p>
    <w:p w14:paraId="149A6E72" w14:textId="77777777" w:rsidR="006C501D" w:rsidRDefault="006C501D" w:rsidP="009D63DD">
      <w:pPr>
        <w:pStyle w:val="TabbedL2"/>
        <w:numPr>
          <w:ilvl w:val="0"/>
          <w:numId w:val="0"/>
        </w:numPr>
        <w:tabs>
          <w:tab w:val="left" w:pos="2160"/>
        </w:tabs>
        <w:ind w:firstLine="1440"/>
        <w:jc w:val="both"/>
      </w:pPr>
      <w:r>
        <w:t>(b)</w:t>
      </w:r>
      <w:r>
        <w:tab/>
        <w:t>The Assignor hereby appoints the Company the attorney-in-fact of the Assignor, with full power of substitution on behalf of the Assignor to demand and receive any of the Assigned Assets and to give receipts and releases for the same, to institute and prosecute in the name of the Assignor, but for the benefit of the Company, any legal or equitable proceedings the Assignor deems proper in order to enforce any rights in the Assigned Assets and to defend or compromise any legal or equitable proceedings relating to the Assigned Assets as the Company shall deem advisable.  The Assignor hereby declares that the appointment made and powers granted hereby are coupled with an interest and shall be irrevocable by the Assignor.</w:t>
      </w:r>
    </w:p>
    <w:p w14:paraId="038BB59A" w14:textId="77777777" w:rsidR="006C501D" w:rsidRDefault="006C501D" w:rsidP="009D63DD">
      <w:pPr>
        <w:pStyle w:val="TabbedL2"/>
        <w:numPr>
          <w:ilvl w:val="0"/>
          <w:numId w:val="0"/>
        </w:numPr>
        <w:tabs>
          <w:tab w:val="left" w:pos="2160"/>
        </w:tabs>
        <w:ind w:firstLine="1440"/>
        <w:jc w:val="both"/>
      </w:pPr>
      <w:r>
        <w:t>(c)</w:t>
      </w:r>
      <w:r>
        <w:tab/>
        <w:t>The Assignor hereby agrees that the Assignor and the Assignor’s successors and assigns will do, execute, acknowledge and deliver, or will cause to be done, executed, acknowledged and delivered such further acts, documents, or instruments confirming the conveyance of any of the Assigned Assets to the Company as the Company shall reasonably deem necessary, provided that the Company shall provide all necessary documentation to the Assignor.</w:t>
      </w:r>
    </w:p>
    <w:p w14:paraId="21C2928A" w14:textId="77777777" w:rsidR="006C501D" w:rsidRDefault="006C501D" w:rsidP="009D63DD">
      <w:pPr>
        <w:pStyle w:val="TabbedL1"/>
        <w:tabs>
          <w:tab w:val="clear" w:pos="720"/>
          <w:tab w:val="left" w:pos="1440"/>
        </w:tabs>
        <w:ind w:left="0" w:firstLine="720"/>
        <w:jc w:val="both"/>
      </w:pPr>
      <w:r>
        <w:t>3.</w:t>
      </w:r>
      <w:r>
        <w:tab/>
      </w:r>
      <w:r>
        <w:rPr>
          <w:b/>
          <w:u w:val="single"/>
        </w:rPr>
        <w:t>Assignor Representations and Warranties</w:t>
      </w:r>
      <w:r>
        <w:rPr>
          <w:b/>
        </w:rPr>
        <w:t>.</w:t>
      </w:r>
      <w:r>
        <w:t xml:space="preserve">  The Assignor represents and warrants to the Company that to the best of Assignor’s knowledge the </w:t>
      </w:r>
      <w:r>
        <w:rPr>
          <w:bCs/>
        </w:rPr>
        <w:t>Assignor</w:t>
      </w:r>
      <w:r>
        <w:t xml:space="preserve"> is the owner, inventor and/or author of, and can grant exclusive right, title and interest in and to, each of the Assigned Assets transferred by the Assignor hereunder and that none of the Assigned Assets are subject to any dispute, claim, prior license or other agreement, assignment, lien or rights of any third party, or any other rights that might interfere with the Company’s use, or exercise of ownership of, any of the Assigned Assets.  The Assignor further represents and warrants to the Company that to the best of Assignor’s knowledge the Assigned Assets are free of any claim of any prior employer or third </w:t>
      </w:r>
      <w:r>
        <w:lastRenderedPageBreak/>
        <w:t>party client of the Assignor or any school, university or other institution the</w:t>
      </w:r>
      <w:r>
        <w:rPr>
          <w:bCs/>
        </w:rPr>
        <w:t xml:space="preserve"> </w:t>
      </w:r>
      <w:r>
        <w:t>Assignor attended, and that the Assignor is not aware of any claims by any third party to any rights of any kind in or to any of the Assigned Assets.  The Assignor agrees to immediately notify the Company upon becoming aware of any such claims.</w:t>
      </w:r>
    </w:p>
    <w:p w14:paraId="407C7773" w14:textId="77777777" w:rsidR="006C501D" w:rsidRDefault="006C501D" w:rsidP="009D63DD">
      <w:pPr>
        <w:pStyle w:val="TabbedL1"/>
        <w:tabs>
          <w:tab w:val="clear" w:pos="720"/>
          <w:tab w:val="left" w:pos="1440"/>
        </w:tabs>
        <w:ind w:left="0" w:firstLine="720"/>
        <w:jc w:val="both"/>
        <w:rPr>
          <w:b/>
        </w:rPr>
      </w:pPr>
      <w:r>
        <w:t>4.</w:t>
      </w:r>
      <w:r>
        <w:tab/>
      </w:r>
      <w:r>
        <w:rPr>
          <w:b/>
          <w:u w:val="single"/>
        </w:rPr>
        <w:t>Reimbursement of Expenses</w:t>
      </w:r>
      <w:r>
        <w:rPr>
          <w:b/>
        </w:rPr>
        <w:t>.</w:t>
      </w:r>
      <w:r>
        <w:t xml:space="preserve">  The Company shall as promptly as practicable, reimburse the Assignor for the Assignor’s actual out-of-pocket costs reasonably incurred with respect to Assignor’s acquisition and maintenance of the Assigned Assets.</w:t>
      </w:r>
    </w:p>
    <w:p w14:paraId="01FF3CEA" w14:textId="77777777" w:rsidR="006C501D" w:rsidRDefault="006C501D" w:rsidP="009D63DD">
      <w:pPr>
        <w:pStyle w:val="TabbedL1"/>
        <w:keepNext/>
        <w:tabs>
          <w:tab w:val="clear" w:pos="720"/>
          <w:tab w:val="left" w:pos="1440"/>
        </w:tabs>
        <w:ind w:left="0" w:firstLine="720"/>
        <w:jc w:val="both"/>
        <w:rPr>
          <w:b/>
        </w:rPr>
      </w:pPr>
      <w:r>
        <w:t>5.</w:t>
      </w:r>
      <w:r>
        <w:tab/>
      </w:r>
      <w:r>
        <w:rPr>
          <w:b/>
          <w:u w:val="single"/>
        </w:rPr>
        <w:t>Miscellaneous</w:t>
      </w:r>
      <w:r>
        <w:rPr>
          <w:b/>
        </w:rPr>
        <w:t>.</w:t>
      </w:r>
    </w:p>
    <w:p w14:paraId="37D09115" w14:textId="77777777" w:rsidR="006C501D" w:rsidRDefault="006C501D" w:rsidP="009D63DD">
      <w:pPr>
        <w:pStyle w:val="TabbedL2"/>
        <w:numPr>
          <w:ilvl w:val="0"/>
          <w:numId w:val="0"/>
        </w:numPr>
        <w:tabs>
          <w:tab w:val="left" w:pos="2160"/>
        </w:tabs>
        <w:ind w:firstLine="1440"/>
        <w:jc w:val="both"/>
      </w:pPr>
      <w:r>
        <w:t>(a)</w:t>
      </w:r>
      <w:r>
        <w:tab/>
      </w: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w:t>
      </w:r>
      <w:r w:rsidR="00E572E4">
        <w:t xml:space="preserve"> of the State of Delaware</w:t>
      </w:r>
      <w:r>
        <w:t>, without giving effect to principles of conflicts of law.</w:t>
      </w:r>
    </w:p>
    <w:p w14:paraId="575AB5AF" w14:textId="77777777" w:rsidR="006C501D" w:rsidRDefault="006C501D" w:rsidP="009D63DD">
      <w:pPr>
        <w:pStyle w:val="TabbedL2"/>
        <w:numPr>
          <w:ilvl w:val="0"/>
          <w:numId w:val="0"/>
        </w:numPr>
        <w:tabs>
          <w:tab w:val="left" w:pos="2160"/>
        </w:tabs>
        <w:ind w:firstLine="1440"/>
        <w:jc w:val="both"/>
      </w:pPr>
      <w:r>
        <w:t>(b)</w:t>
      </w:r>
      <w:r>
        <w:tab/>
      </w: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14:paraId="4DF8F05C" w14:textId="77777777" w:rsidR="006C501D" w:rsidRDefault="006C501D" w:rsidP="009D63DD">
      <w:pPr>
        <w:pStyle w:val="TabbedL2"/>
        <w:numPr>
          <w:ilvl w:val="0"/>
          <w:numId w:val="0"/>
        </w:numPr>
        <w:tabs>
          <w:tab w:val="left" w:pos="2160"/>
        </w:tabs>
        <w:ind w:firstLine="1440"/>
        <w:jc w:val="both"/>
      </w:pPr>
      <w:r>
        <w:t>(c)</w:t>
      </w:r>
      <w:r>
        <w:tab/>
      </w:r>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14:paraId="6229E7F0" w14:textId="77777777" w:rsidR="006C501D" w:rsidRDefault="006C501D" w:rsidP="009D63DD">
      <w:pPr>
        <w:pStyle w:val="TabbedL2"/>
        <w:numPr>
          <w:ilvl w:val="0"/>
          <w:numId w:val="0"/>
        </w:numPr>
        <w:tabs>
          <w:tab w:val="left" w:pos="2160"/>
        </w:tabs>
        <w:ind w:firstLine="1440"/>
        <w:jc w:val="both"/>
      </w:pPr>
      <w:r>
        <w:t>(d)</w:t>
      </w:r>
      <w:r>
        <w:tab/>
      </w: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w:t>
      </w:r>
    </w:p>
    <w:p w14:paraId="7CB3DF50" w14:textId="77777777" w:rsidR="006C501D" w:rsidRDefault="006C501D" w:rsidP="009D63DD">
      <w:pPr>
        <w:pStyle w:val="TabbedL2"/>
        <w:numPr>
          <w:ilvl w:val="0"/>
          <w:numId w:val="0"/>
        </w:numPr>
        <w:tabs>
          <w:tab w:val="left" w:pos="2160"/>
        </w:tabs>
        <w:ind w:firstLine="1440"/>
        <w:jc w:val="both"/>
      </w:pPr>
      <w:r>
        <w:t>(e)</w:t>
      </w:r>
      <w:r>
        <w:tab/>
      </w: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addressed to the party to be notified at such party’s address as set forth on the signature page, as subsequently modified by written notice, or if no address is specified on the signature page, at the most recent address set forth in the Company’s books and records. </w:t>
      </w:r>
    </w:p>
    <w:p w14:paraId="1B8B0D4E" w14:textId="77777777" w:rsidR="006C501D" w:rsidRDefault="006C501D" w:rsidP="009D63DD">
      <w:pPr>
        <w:pStyle w:val="TabbedL2"/>
        <w:numPr>
          <w:ilvl w:val="0"/>
          <w:numId w:val="0"/>
        </w:numPr>
        <w:tabs>
          <w:tab w:val="left" w:pos="2160"/>
        </w:tabs>
        <w:ind w:firstLine="1440"/>
        <w:jc w:val="both"/>
      </w:pPr>
      <w:r>
        <w:t>(f)</w:t>
      </w:r>
      <w:r>
        <w:tab/>
      </w:r>
      <w:r>
        <w:rPr>
          <w:b/>
          <w:u w:val="single"/>
        </w:rPr>
        <w:t>Severability</w:t>
      </w:r>
      <w:r>
        <w:rPr>
          <w:b/>
        </w:rPr>
        <w:t>.</w:t>
      </w:r>
      <w:r>
        <w:t xml:space="preserve">  If one or more provisions of this Agreement are held to be</w:t>
      </w:r>
      <w:r>
        <w:rPr>
          <w:u w:val="single"/>
        </w:rPr>
        <w:t xml:space="preserve"> </w:t>
      </w:r>
      <w:r>
        <w:t xml:space="preserve">unenforceable under applicable law, the parties agree to renegotiate such provision in good faith.  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14:paraId="408A2BF3" w14:textId="77777777" w:rsidR="006C501D" w:rsidRDefault="006C501D" w:rsidP="009D63DD">
      <w:pPr>
        <w:pStyle w:val="TabbedL2"/>
        <w:numPr>
          <w:ilvl w:val="0"/>
          <w:numId w:val="0"/>
        </w:numPr>
        <w:tabs>
          <w:tab w:val="left" w:pos="2160"/>
        </w:tabs>
        <w:ind w:firstLine="1440"/>
        <w:jc w:val="both"/>
        <w:rPr>
          <w:b/>
        </w:rPr>
      </w:pPr>
      <w:r>
        <w:lastRenderedPageBreak/>
        <w:t>(g)</w:t>
      </w:r>
      <w:r>
        <w:tab/>
      </w: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14:paraId="0FC4CF1D" w14:textId="77777777" w:rsidR="006C501D" w:rsidRPr="00A340CD" w:rsidRDefault="006C501D" w:rsidP="009D63DD">
      <w:pPr>
        <w:pStyle w:val="TabbedL2"/>
        <w:numPr>
          <w:ilvl w:val="0"/>
          <w:numId w:val="0"/>
        </w:numPr>
        <w:tabs>
          <w:tab w:val="left" w:pos="2160"/>
        </w:tabs>
        <w:ind w:firstLine="1440"/>
        <w:jc w:val="both"/>
        <w:rPr>
          <w:szCs w:val="24"/>
        </w:rPr>
      </w:pPr>
      <w:r>
        <w:t>(h)</w:t>
      </w:r>
      <w:r>
        <w:tab/>
      </w:r>
      <w:r>
        <w:rPr>
          <w:b/>
          <w:u w:val="single"/>
        </w:rPr>
        <w:t>Counterparts</w:t>
      </w:r>
      <w:r>
        <w:rPr>
          <w:b/>
        </w:rPr>
        <w:t>.</w:t>
      </w:r>
      <w:r>
        <w:t xml:space="preserve">  </w:t>
      </w:r>
      <w:r w:rsidR="00E572E4" w:rsidRPr="00C6005A">
        <w:rPr>
          <w:w w:val="0"/>
        </w:rPr>
        <w:t xml:space="preserve">This Agreement may be executed in two or more counterparts, each of which shall be deemed an original, but all of which together shall constitute one and the same instrument.  </w:t>
      </w:r>
      <w:bookmarkStart w:id="0" w:name="_DV_M637"/>
      <w:bookmarkEnd w:id="0"/>
      <w:r w:rsidR="00E572E4" w:rsidRPr="00C6005A">
        <w:t xml:space="preserve">Counterparts may be delivered via facsimile, electronic mail (including pdf or any electronic signature complying with the U.S. federal ESIGN Act of 2000, </w:t>
      </w:r>
      <w:r w:rsidR="00E572E4" w:rsidRPr="00C6005A">
        <w:rPr>
          <w:i/>
        </w:rPr>
        <w:t>e.g.</w:t>
      </w:r>
      <w:r w:rsidR="00E572E4" w:rsidRPr="00C6005A">
        <w:t xml:space="preserve">, www.docusign.com) or other transmission </w:t>
      </w:r>
      <w:r w:rsidR="00E572E4" w:rsidRPr="00A340CD">
        <w:rPr>
          <w:szCs w:val="24"/>
        </w:rPr>
        <w:t>method and any counterpart so delivered shall be deemed to have been duly and validly delivered and be valid and effective for all purposes</w:t>
      </w:r>
      <w:r w:rsidRPr="00A340CD">
        <w:rPr>
          <w:szCs w:val="24"/>
        </w:rPr>
        <w:t xml:space="preserve">. </w:t>
      </w:r>
    </w:p>
    <w:p w14:paraId="0C4A4A1B" w14:textId="77777777" w:rsidR="006C501D" w:rsidRPr="00A340CD" w:rsidRDefault="006C501D" w:rsidP="009D63DD">
      <w:pPr>
        <w:pStyle w:val="O-BodyText5"/>
        <w:jc w:val="both"/>
        <w:rPr>
          <w:szCs w:val="24"/>
        </w:rPr>
      </w:pPr>
      <w:r w:rsidRPr="00A340CD">
        <w:rPr>
          <w:szCs w:val="24"/>
        </w:rPr>
        <w:t>IN WITNESS WHEREOF, the undersigned have executed this Agreement effective as of the date and year first above written.</w:t>
      </w:r>
    </w:p>
    <w:p w14:paraId="34C40763" w14:textId="3455DA54" w:rsidR="00CB4AB3" w:rsidRPr="00A340CD" w:rsidRDefault="006C501D" w:rsidP="009D63DD">
      <w:pPr>
        <w:pStyle w:val="O-BodyText"/>
        <w:tabs>
          <w:tab w:val="right" w:pos="3600"/>
          <w:tab w:val="left" w:pos="5040"/>
        </w:tabs>
        <w:jc w:val="both"/>
        <w:rPr>
          <w:szCs w:val="24"/>
        </w:rPr>
      </w:pPr>
      <w:r w:rsidRPr="00A340CD">
        <w:rPr>
          <w:szCs w:val="24"/>
        </w:rPr>
        <w:t>Dated:</w:t>
      </w:r>
      <w:r w:rsidR="00106054" w:rsidRPr="00A340CD">
        <w:rPr>
          <w:szCs w:val="24"/>
        </w:rPr>
        <w:t xml:space="preserve"> </w:t>
      </w:r>
      <w:r w:rsidR="00671BDC" w:rsidRPr="00671BDC">
        <w:rPr>
          <w:szCs w:val="24"/>
          <w:highlight w:val="yellow"/>
        </w:rPr>
        <w:t>DATE</w:t>
      </w:r>
      <w:r w:rsidR="00106054" w:rsidRPr="00A340CD">
        <w:rPr>
          <w:szCs w:val="24"/>
        </w:rPr>
        <w:tab/>
      </w:r>
      <w:r w:rsidRPr="00A340CD">
        <w:rPr>
          <w:szCs w:val="24"/>
        </w:rPr>
        <w:tab/>
      </w:r>
    </w:p>
    <w:p w14:paraId="6E5778E1" w14:textId="77777777" w:rsidR="00CB4AB3" w:rsidRPr="00A340CD" w:rsidRDefault="00CB4AB3" w:rsidP="009D63DD">
      <w:pPr>
        <w:pStyle w:val="O-BodyText"/>
        <w:tabs>
          <w:tab w:val="right" w:pos="3600"/>
          <w:tab w:val="left" w:pos="5040"/>
        </w:tabs>
        <w:jc w:val="both"/>
        <w:rPr>
          <w:szCs w:val="24"/>
        </w:rPr>
      </w:pPr>
    </w:p>
    <w:p w14:paraId="2C57A80B" w14:textId="295A59BA" w:rsidR="00CB4AB3" w:rsidRPr="00A340CD" w:rsidRDefault="00CB4AB3" w:rsidP="009D63DD">
      <w:pPr>
        <w:jc w:val="both"/>
        <w:rPr>
          <w:rFonts w:ascii="Times New Roman" w:hAnsi="Times New Roman" w:cs="Times New Roman"/>
          <w:sz w:val="24"/>
          <w:szCs w:val="24"/>
        </w:rPr>
      </w:pPr>
      <w:r w:rsidRPr="00A340CD">
        <w:rPr>
          <w:rFonts w:ascii="Times New Roman" w:hAnsi="Times New Roman" w:cs="Times New Roman"/>
          <w:b/>
          <w:sz w:val="24"/>
          <w:szCs w:val="24"/>
        </w:rPr>
        <w:t>COMPANY:</w:t>
      </w:r>
      <w:r w:rsidRPr="00A340CD">
        <w:rPr>
          <w:rFonts w:ascii="Times New Roman" w:hAnsi="Times New Roman" w:cs="Times New Roman"/>
          <w:b/>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0071451E" w:rsidRPr="0071451E">
        <w:rPr>
          <w:rFonts w:ascii="Times New Roman" w:hAnsi="Times New Roman" w:cs="Times New Roman"/>
          <w:b/>
          <w:bCs/>
          <w:sz w:val="24"/>
          <w:szCs w:val="24"/>
        </w:rPr>
        <w:t>[</w:t>
      </w:r>
      <w:r w:rsidR="0071451E" w:rsidRPr="0071451E">
        <w:rPr>
          <w:rFonts w:ascii="Times New Roman" w:hAnsi="Times New Roman" w:cs="Times New Roman"/>
          <w:b/>
          <w:bCs/>
          <w:sz w:val="24"/>
          <w:szCs w:val="24"/>
          <w:highlight w:val="yellow"/>
        </w:rPr>
        <w:t>NAME OF THE COMPANY</w:t>
      </w:r>
      <w:r w:rsidR="0071451E" w:rsidRPr="0071451E">
        <w:rPr>
          <w:rFonts w:ascii="Times New Roman" w:hAnsi="Times New Roman" w:cs="Times New Roman"/>
          <w:b/>
          <w:bCs/>
          <w:sz w:val="24"/>
          <w:szCs w:val="24"/>
        </w:rPr>
        <w:t>]</w:t>
      </w:r>
    </w:p>
    <w:p w14:paraId="39D676E7" w14:textId="77777777" w:rsidR="00CB4AB3" w:rsidRPr="00A340CD" w:rsidRDefault="00CB4AB3" w:rsidP="009D63DD">
      <w:pPr>
        <w:jc w:val="both"/>
        <w:rPr>
          <w:rFonts w:ascii="Times New Roman" w:hAnsi="Times New Roman" w:cs="Times New Roman"/>
          <w:sz w:val="24"/>
          <w:szCs w:val="24"/>
        </w:rPr>
      </w:pPr>
    </w:p>
    <w:p w14:paraId="4E0EB69B" w14:textId="507940FF" w:rsidR="00CB4AB3" w:rsidRPr="00A340CD" w:rsidRDefault="00CB4AB3" w:rsidP="009D63DD">
      <w:pPr>
        <w:spacing w:after="0"/>
        <w:jc w:val="both"/>
        <w:rPr>
          <w:rFonts w:ascii="Times New Roman" w:hAnsi="Times New Roman" w:cs="Times New Roman"/>
          <w:sz w:val="24"/>
          <w:szCs w:val="24"/>
        </w:rPr>
      </w:pP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t>By:</w:t>
      </w:r>
      <w:r w:rsidR="0071451E">
        <w:rPr>
          <w:rFonts w:ascii="Times New Roman" w:hAnsi="Times New Roman" w:cs="Times New Roman"/>
          <w:sz w:val="24"/>
          <w:szCs w:val="24"/>
        </w:rPr>
        <w:t xml:space="preserve"> </w:t>
      </w:r>
      <w:r w:rsidR="0071451E" w:rsidRPr="0071451E">
        <w:rPr>
          <w:rFonts w:ascii="Times New Roman" w:hAnsi="Times New Roman" w:cs="Times New Roman"/>
          <w:sz w:val="24"/>
          <w:szCs w:val="24"/>
          <w:u w:val="single"/>
        </w:rPr>
        <w:tab/>
      </w:r>
      <w:r w:rsidR="0071451E" w:rsidRPr="0071451E">
        <w:rPr>
          <w:rFonts w:ascii="Times New Roman" w:hAnsi="Times New Roman" w:cs="Times New Roman"/>
          <w:sz w:val="24"/>
          <w:szCs w:val="24"/>
          <w:u w:val="single"/>
        </w:rPr>
        <w:tab/>
      </w:r>
      <w:r w:rsidR="0071451E" w:rsidRPr="0071451E">
        <w:rPr>
          <w:rFonts w:ascii="Times New Roman" w:hAnsi="Times New Roman" w:cs="Times New Roman"/>
          <w:sz w:val="24"/>
          <w:szCs w:val="24"/>
          <w:u w:val="single"/>
        </w:rPr>
        <w:tab/>
      </w:r>
      <w:r w:rsidR="0071451E" w:rsidRPr="0071451E">
        <w:rPr>
          <w:rFonts w:ascii="Times New Roman" w:hAnsi="Times New Roman" w:cs="Times New Roman"/>
          <w:sz w:val="24"/>
          <w:szCs w:val="24"/>
          <w:u w:val="single"/>
        </w:rPr>
        <w:tab/>
      </w:r>
    </w:p>
    <w:p w14:paraId="095C3D26" w14:textId="0A30F337" w:rsidR="00CB4AB3" w:rsidRPr="00A340CD" w:rsidRDefault="00CB4AB3" w:rsidP="009D63DD">
      <w:pPr>
        <w:spacing w:after="0"/>
        <w:jc w:val="both"/>
        <w:rPr>
          <w:rFonts w:ascii="Times New Roman" w:hAnsi="Times New Roman" w:cs="Times New Roman"/>
          <w:sz w:val="24"/>
          <w:szCs w:val="24"/>
        </w:rPr>
      </w:pP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t xml:space="preserve">Name: </w:t>
      </w:r>
    </w:p>
    <w:p w14:paraId="018ED556" w14:textId="27636EE6" w:rsidR="00CB4AB3" w:rsidRPr="00A340CD" w:rsidRDefault="00CB4AB3" w:rsidP="009D63DD">
      <w:pPr>
        <w:spacing w:after="0"/>
        <w:jc w:val="both"/>
        <w:rPr>
          <w:rFonts w:ascii="Times New Roman" w:hAnsi="Times New Roman" w:cs="Times New Roman"/>
          <w:sz w:val="24"/>
          <w:szCs w:val="24"/>
        </w:rPr>
      </w:pP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r>
      <w:r w:rsidRPr="00A340CD">
        <w:rPr>
          <w:rFonts w:ascii="Times New Roman" w:hAnsi="Times New Roman" w:cs="Times New Roman"/>
          <w:sz w:val="24"/>
          <w:szCs w:val="24"/>
        </w:rPr>
        <w:tab/>
        <w:t>Title: C</w:t>
      </w:r>
      <w:r w:rsidR="0071451E">
        <w:rPr>
          <w:rFonts w:ascii="Times New Roman" w:hAnsi="Times New Roman" w:cs="Times New Roman"/>
          <w:sz w:val="24"/>
          <w:szCs w:val="24"/>
        </w:rPr>
        <w:t xml:space="preserve">hief </w:t>
      </w:r>
      <w:r w:rsidRPr="00A340CD">
        <w:rPr>
          <w:rFonts w:ascii="Times New Roman" w:hAnsi="Times New Roman" w:cs="Times New Roman"/>
          <w:sz w:val="24"/>
          <w:szCs w:val="24"/>
        </w:rPr>
        <w:t>E</w:t>
      </w:r>
      <w:r w:rsidR="0071451E">
        <w:rPr>
          <w:rFonts w:ascii="Times New Roman" w:hAnsi="Times New Roman" w:cs="Times New Roman"/>
          <w:sz w:val="24"/>
          <w:szCs w:val="24"/>
        </w:rPr>
        <w:t xml:space="preserve">xecutive </w:t>
      </w:r>
      <w:r w:rsidRPr="00A340CD">
        <w:rPr>
          <w:rFonts w:ascii="Times New Roman" w:hAnsi="Times New Roman" w:cs="Times New Roman"/>
          <w:sz w:val="24"/>
          <w:szCs w:val="24"/>
        </w:rPr>
        <w:t>O</w:t>
      </w:r>
      <w:r w:rsidR="0071451E">
        <w:rPr>
          <w:rFonts w:ascii="Times New Roman" w:hAnsi="Times New Roman" w:cs="Times New Roman"/>
          <w:sz w:val="24"/>
          <w:szCs w:val="24"/>
        </w:rPr>
        <w:t>fficer</w:t>
      </w:r>
    </w:p>
    <w:p w14:paraId="2CC53F88" w14:textId="77777777" w:rsidR="00CB4AB3" w:rsidRPr="00A340CD" w:rsidRDefault="00CB4AB3" w:rsidP="009D63DD">
      <w:pPr>
        <w:pStyle w:val="O-BodyText"/>
        <w:tabs>
          <w:tab w:val="right" w:pos="3600"/>
          <w:tab w:val="left" w:pos="5040"/>
        </w:tabs>
        <w:jc w:val="both"/>
        <w:rPr>
          <w:szCs w:val="24"/>
        </w:rPr>
      </w:pPr>
    </w:p>
    <w:p w14:paraId="26231E8C" w14:textId="77777777" w:rsidR="00CB4AB3" w:rsidRPr="00CB4AB3" w:rsidRDefault="00CB4AB3" w:rsidP="009D63DD">
      <w:pPr>
        <w:pStyle w:val="O-BodyText"/>
        <w:tabs>
          <w:tab w:val="right" w:pos="3600"/>
          <w:tab w:val="left" w:pos="5040"/>
        </w:tabs>
        <w:jc w:val="both"/>
        <w:rPr>
          <w:szCs w:val="24"/>
        </w:rPr>
      </w:pPr>
    </w:p>
    <w:p w14:paraId="25EBBF3B" w14:textId="4562EB7A" w:rsidR="00F3205E" w:rsidRDefault="006C501D" w:rsidP="0071451E">
      <w:pPr>
        <w:pStyle w:val="O-BodyText"/>
        <w:tabs>
          <w:tab w:val="right" w:pos="3600"/>
          <w:tab w:val="left" w:pos="5040"/>
        </w:tabs>
        <w:jc w:val="both"/>
        <w:rPr>
          <w:b/>
          <w:caps/>
          <w:szCs w:val="24"/>
        </w:rPr>
      </w:pPr>
      <w:r w:rsidRPr="00CB4AB3">
        <w:rPr>
          <w:b/>
          <w:caps/>
          <w:szCs w:val="24"/>
        </w:rPr>
        <w:t>ASSIGNOR:</w:t>
      </w:r>
      <w:r w:rsidR="0071451E">
        <w:rPr>
          <w:b/>
          <w:caps/>
          <w:szCs w:val="24"/>
        </w:rPr>
        <w:tab/>
      </w:r>
      <w:r w:rsidR="0071451E">
        <w:rPr>
          <w:b/>
          <w:caps/>
          <w:szCs w:val="24"/>
        </w:rPr>
        <w:tab/>
        <w:t>[</w:t>
      </w:r>
      <w:r w:rsidR="0071451E" w:rsidRPr="0071451E">
        <w:rPr>
          <w:b/>
          <w:caps/>
          <w:szCs w:val="24"/>
          <w:highlight w:val="yellow"/>
        </w:rPr>
        <w:t>name of the assignor</w:t>
      </w:r>
      <w:r w:rsidR="0071451E">
        <w:rPr>
          <w:b/>
          <w:caps/>
          <w:szCs w:val="24"/>
        </w:rPr>
        <w:t>]</w:t>
      </w:r>
    </w:p>
    <w:p w14:paraId="7EF070AC" w14:textId="77777777" w:rsidR="0071451E" w:rsidRPr="0071451E" w:rsidRDefault="0071451E" w:rsidP="0071451E"/>
    <w:p w14:paraId="10722CAC" w14:textId="6013FADF" w:rsidR="006C501D" w:rsidRPr="00CB4AB3" w:rsidRDefault="006C501D" w:rsidP="009D63DD">
      <w:pPr>
        <w:pStyle w:val="O-SignSpaceAfter0"/>
        <w:keepNext w:val="0"/>
        <w:tabs>
          <w:tab w:val="left" w:pos="9360"/>
        </w:tabs>
        <w:spacing w:before="240"/>
        <w:jc w:val="both"/>
        <w:rPr>
          <w:szCs w:val="24"/>
        </w:rPr>
      </w:pPr>
      <w:r w:rsidRPr="00CB4AB3">
        <w:rPr>
          <w:szCs w:val="24"/>
          <w:u w:val="single"/>
        </w:rPr>
        <w:tab/>
      </w:r>
    </w:p>
    <w:p w14:paraId="072877C3" w14:textId="77777777" w:rsidR="006C501D" w:rsidRPr="00CB4AB3" w:rsidRDefault="006C501D" w:rsidP="009D63DD">
      <w:pPr>
        <w:pStyle w:val="O-Signature"/>
        <w:keepNext w:val="0"/>
        <w:tabs>
          <w:tab w:val="left" w:pos="6660"/>
        </w:tabs>
        <w:jc w:val="both"/>
        <w:rPr>
          <w:szCs w:val="24"/>
        </w:rPr>
      </w:pPr>
      <w:r w:rsidRPr="00CB4AB3">
        <w:rPr>
          <w:szCs w:val="24"/>
        </w:rPr>
        <w:t>(Signature)</w:t>
      </w:r>
    </w:p>
    <w:p w14:paraId="36872CF0" w14:textId="77777777" w:rsidR="006C501D" w:rsidRDefault="006C501D" w:rsidP="009D63DD">
      <w:pPr>
        <w:pStyle w:val="O-Signature"/>
        <w:keepNext w:val="0"/>
        <w:tabs>
          <w:tab w:val="right" w:pos="9360"/>
        </w:tabs>
        <w:spacing w:before="240"/>
        <w:jc w:val="both"/>
      </w:pPr>
      <w:r>
        <w:rPr>
          <w:u w:val="single"/>
        </w:rPr>
        <w:tab/>
      </w:r>
      <w:r>
        <w:rPr>
          <w:u w:val="single"/>
        </w:rPr>
        <w:br/>
      </w:r>
      <w:r>
        <w:t xml:space="preserve">Spouse of Assignor (if applicable) </w:t>
      </w:r>
    </w:p>
    <w:p w14:paraId="7AD3B665" w14:textId="77777777" w:rsidR="00C45B49" w:rsidRDefault="00B42BAC" w:rsidP="009D63DD">
      <w:pPr>
        <w:jc w:val="both"/>
      </w:pPr>
    </w:p>
    <w:sectPr w:rsidR="00C45B4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1C37E" w14:textId="77777777" w:rsidR="00B42BAC" w:rsidRDefault="00B42BAC" w:rsidP="0003529A">
      <w:pPr>
        <w:spacing w:after="0" w:line="240" w:lineRule="auto"/>
      </w:pPr>
      <w:r>
        <w:separator/>
      </w:r>
    </w:p>
  </w:endnote>
  <w:endnote w:type="continuationSeparator" w:id="0">
    <w:p w14:paraId="1A46B394" w14:textId="77777777" w:rsidR="00B42BAC" w:rsidRDefault="00B42BAC" w:rsidP="0003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5301" w14:textId="77777777" w:rsidR="0003529A" w:rsidRDefault="0003529A" w:rsidP="00F6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4AD1E" w14:textId="77777777" w:rsidR="0003529A" w:rsidRDefault="00035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5F652" w14:textId="77777777" w:rsidR="0003529A" w:rsidRDefault="0003529A" w:rsidP="00F6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B8CAB9" w14:textId="77777777" w:rsidR="0003529A" w:rsidRDefault="0003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8ABF" w14:textId="77777777" w:rsidR="00B42BAC" w:rsidRDefault="00B42BAC" w:rsidP="0003529A">
      <w:pPr>
        <w:spacing w:after="0" w:line="240" w:lineRule="auto"/>
      </w:pPr>
      <w:r>
        <w:separator/>
      </w:r>
    </w:p>
  </w:footnote>
  <w:footnote w:type="continuationSeparator" w:id="0">
    <w:p w14:paraId="20BAC64F" w14:textId="77777777" w:rsidR="00B42BAC" w:rsidRDefault="00B42BAC" w:rsidP="0003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c3MjQ3NzUxsTQzNzVQ0lEKTi0uzszPAykwrgUAOphjOywAAAA="/>
  </w:docVars>
  <w:rsids>
    <w:rsidRoot w:val="006C501D"/>
    <w:rsid w:val="0003529A"/>
    <w:rsid w:val="00047028"/>
    <w:rsid w:val="000A0577"/>
    <w:rsid w:val="000A18DF"/>
    <w:rsid w:val="000B4D3C"/>
    <w:rsid w:val="000F4E16"/>
    <w:rsid w:val="00105092"/>
    <w:rsid w:val="00106054"/>
    <w:rsid w:val="00117C4C"/>
    <w:rsid w:val="0015202C"/>
    <w:rsid w:val="001649E3"/>
    <w:rsid w:val="001734B6"/>
    <w:rsid w:val="0018762B"/>
    <w:rsid w:val="00192AB5"/>
    <w:rsid w:val="001A3A2C"/>
    <w:rsid w:val="001F26D6"/>
    <w:rsid w:val="001F65B1"/>
    <w:rsid w:val="0022163E"/>
    <w:rsid w:val="0025533F"/>
    <w:rsid w:val="002F3249"/>
    <w:rsid w:val="0032518C"/>
    <w:rsid w:val="0032607F"/>
    <w:rsid w:val="003732BD"/>
    <w:rsid w:val="003808ED"/>
    <w:rsid w:val="00385D94"/>
    <w:rsid w:val="0039472D"/>
    <w:rsid w:val="003A1A8E"/>
    <w:rsid w:val="003E633D"/>
    <w:rsid w:val="003F342E"/>
    <w:rsid w:val="00432ACB"/>
    <w:rsid w:val="00467637"/>
    <w:rsid w:val="005225D6"/>
    <w:rsid w:val="005432A2"/>
    <w:rsid w:val="005627D9"/>
    <w:rsid w:val="005822C8"/>
    <w:rsid w:val="00600FC4"/>
    <w:rsid w:val="00615222"/>
    <w:rsid w:val="00621546"/>
    <w:rsid w:val="00651C8A"/>
    <w:rsid w:val="00663122"/>
    <w:rsid w:val="00671BDC"/>
    <w:rsid w:val="006C501D"/>
    <w:rsid w:val="006D51DC"/>
    <w:rsid w:val="006E056A"/>
    <w:rsid w:val="006F254F"/>
    <w:rsid w:val="006F26C4"/>
    <w:rsid w:val="00700080"/>
    <w:rsid w:val="0071451E"/>
    <w:rsid w:val="00763907"/>
    <w:rsid w:val="007D7A3C"/>
    <w:rsid w:val="009173C4"/>
    <w:rsid w:val="009C5C09"/>
    <w:rsid w:val="009D63DD"/>
    <w:rsid w:val="009E47EA"/>
    <w:rsid w:val="00A340CD"/>
    <w:rsid w:val="00A4289E"/>
    <w:rsid w:val="00A94F6A"/>
    <w:rsid w:val="00A95D38"/>
    <w:rsid w:val="00AE0F3A"/>
    <w:rsid w:val="00B0760B"/>
    <w:rsid w:val="00B16225"/>
    <w:rsid w:val="00B42BAC"/>
    <w:rsid w:val="00BA6C94"/>
    <w:rsid w:val="00C038A2"/>
    <w:rsid w:val="00C10EB4"/>
    <w:rsid w:val="00C61DB4"/>
    <w:rsid w:val="00CB4AB3"/>
    <w:rsid w:val="00D1608B"/>
    <w:rsid w:val="00D45BE0"/>
    <w:rsid w:val="00D76726"/>
    <w:rsid w:val="00D82C41"/>
    <w:rsid w:val="00D96054"/>
    <w:rsid w:val="00DD1DE8"/>
    <w:rsid w:val="00DE2556"/>
    <w:rsid w:val="00E03E54"/>
    <w:rsid w:val="00E076F7"/>
    <w:rsid w:val="00E36BA7"/>
    <w:rsid w:val="00E47946"/>
    <w:rsid w:val="00E572E4"/>
    <w:rsid w:val="00E733B9"/>
    <w:rsid w:val="00EC0EB3"/>
    <w:rsid w:val="00ED65A7"/>
    <w:rsid w:val="00F014F4"/>
    <w:rsid w:val="00F1531E"/>
    <w:rsid w:val="00F17E81"/>
    <w:rsid w:val="00F3205E"/>
    <w:rsid w:val="00F566A8"/>
    <w:rsid w:val="00FC3DD7"/>
    <w:rsid w:val="00FE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B1C8D"/>
  <w15:docId w15:val="{BE80603D-3E71-4B84-AE83-7384C2FF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
    <w:uiPriority w:val="99"/>
    <w:rsid w:val="006C501D"/>
    <w:pPr>
      <w:spacing w:after="480" w:line="240" w:lineRule="auto"/>
      <w:jc w:val="center"/>
    </w:pPr>
    <w:rPr>
      <w:rFonts w:ascii="Times New Roman" w:eastAsia="Times New Roman" w:hAnsi="Times New Roman" w:cs="Times New Roman"/>
      <w:b/>
      <w:caps/>
      <w:sz w:val="24"/>
      <w:szCs w:val="24"/>
    </w:rPr>
  </w:style>
  <w:style w:type="paragraph" w:customStyle="1" w:styleId="O-BodyText5">
    <w:name w:val="O-Body Text .5&quot;"/>
    <w:aliases w:val="S2"/>
    <w:basedOn w:val="Normal"/>
    <w:uiPriority w:val="99"/>
    <w:rsid w:val="006C501D"/>
    <w:pPr>
      <w:spacing w:after="240" w:line="240" w:lineRule="auto"/>
      <w:ind w:firstLine="720"/>
    </w:pPr>
    <w:rPr>
      <w:rFonts w:ascii="Times New Roman" w:eastAsia="Times New Roman" w:hAnsi="Times New Roman" w:cs="Times New Roman"/>
      <w:sz w:val="24"/>
      <w:szCs w:val="20"/>
    </w:rPr>
  </w:style>
  <w:style w:type="paragraph" w:customStyle="1" w:styleId="O-BodyText">
    <w:name w:val="O-Body Text"/>
    <w:aliases w:val="S1"/>
    <w:basedOn w:val="Normal"/>
    <w:next w:val="Normal"/>
    <w:uiPriority w:val="99"/>
    <w:rsid w:val="006C501D"/>
    <w:pPr>
      <w:spacing w:after="240" w:line="240" w:lineRule="auto"/>
    </w:pPr>
    <w:rPr>
      <w:rFonts w:ascii="Times New Roman" w:eastAsia="Times New Roman" w:hAnsi="Times New Roman" w:cs="Times New Roman"/>
      <w:sz w:val="24"/>
      <w:szCs w:val="20"/>
    </w:rPr>
  </w:style>
  <w:style w:type="paragraph" w:customStyle="1" w:styleId="O-Signature">
    <w:name w:val="O-Signature"/>
    <w:aliases w:val="S12"/>
    <w:basedOn w:val="Normal"/>
    <w:next w:val="Normal"/>
    <w:link w:val="O-SignatureChar"/>
    <w:uiPriority w:val="99"/>
    <w:rsid w:val="006C501D"/>
    <w:pPr>
      <w:keepNext/>
      <w:keepLines/>
      <w:spacing w:after="240" w:line="240" w:lineRule="auto"/>
      <w:ind w:left="5040"/>
    </w:pPr>
    <w:rPr>
      <w:rFonts w:ascii="Times New Roman" w:eastAsia="Times New Roman" w:hAnsi="Times New Roman" w:cs="Times New Roman"/>
      <w:sz w:val="24"/>
      <w:szCs w:val="20"/>
    </w:rPr>
  </w:style>
  <w:style w:type="paragraph" w:customStyle="1" w:styleId="O-TITLECENTEREDB">
    <w:name w:val="O-TITLE CENTERED (B)"/>
    <w:aliases w:val="S10"/>
    <w:basedOn w:val="Normal"/>
    <w:next w:val="Normal"/>
    <w:link w:val="O-TITLECENTEREDBChar"/>
    <w:uiPriority w:val="99"/>
    <w:rsid w:val="006C501D"/>
    <w:pPr>
      <w:keepNext/>
      <w:keepLines/>
      <w:spacing w:after="240" w:line="240" w:lineRule="auto"/>
      <w:jc w:val="center"/>
    </w:pPr>
    <w:rPr>
      <w:rFonts w:ascii="Times New Roman" w:eastAsia="Times New Roman" w:hAnsi="Times New Roman Bold" w:cs="Times New Roman"/>
      <w:b/>
      <w:caps/>
      <w:sz w:val="24"/>
      <w:szCs w:val="20"/>
    </w:rPr>
  </w:style>
  <w:style w:type="paragraph" w:customStyle="1" w:styleId="TabbedL1">
    <w:name w:val="Tabbed_L1"/>
    <w:basedOn w:val="Normal"/>
    <w:next w:val="Normal"/>
    <w:link w:val="TabbedL1Char"/>
    <w:rsid w:val="006C501D"/>
    <w:pPr>
      <w:tabs>
        <w:tab w:val="num" w:pos="720"/>
        <w:tab w:val="num" w:pos="1080"/>
        <w:tab w:val="num" w:pos="1440"/>
      </w:tabs>
      <w:spacing w:after="240" w:line="240" w:lineRule="auto"/>
      <w:ind w:left="720" w:hanging="720"/>
      <w:outlineLvl w:val="0"/>
    </w:pPr>
    <w:rPr>
      <w:rFonts w:ascii="Times New Roman" w:eastAsia="Times New Roman" w:hAnsi="Times New Roman" w:cs="Times New Roman"/>
      <w:sz w:val="24"/>
      <w:szCs w:val="20"/>
    </w:rPr>
  </w:style>
  <w:style w:type="paragraph" w:customStyle="1" w:styleId="TabbedL2">
    <w:name w:val="Tabbed_L2"/>
    <w:basedOn w:val="TabbedL1"/>
    <w:next w:val="Normal"/>
    <w:rsid w:val="006C501D"/>
    <w:pPr>
      <w:numPr>
        <w:ilvl w:val="1"/>
      </w:numPr>
      <w:tabs>
        <w:tab w:val="clear" w:pos="1440"/>
        <w:tab w:val="num" w:pos="720"/>
        <w:tab w:val="num" w:pos="2160"/>
      </w:tabs>
      <w:ind w:left="720" w:firstLine="1440"/>
      <w:outlineLvl w:val="1"/>
    </w:pPr>
  </w:style>
  <w:style w:type="paragraph" w:customStyle="1" w:styleId="O-SignCaps">
    <w:name w:val="O-Sign Caps"/>
    <w:basedOn w:val="Normal"/>
    <w:uiPriority w:val="99"/>
    <w:rsid w:val="006C501D"/>
    <w:pPr>
      <w:keepNext/>
      <w:keepLines/>
      <w:spacing w:after="240" w:line="240" w:lineRule="auto"/>
      <w:ind w:left="5040"/>
    </w:pPr>
    <w:rPr>
      <w:rFonts w:ascii="Times New Roman" w:eastAsia="Times New Roman" w:hAnsi="Times New Roman" w:cs="Times New Roman"/>
      <w:caps/>
      <w:noProof/>
      <w:sz w:val="24"/>
      <w:szCs w:val="20"/>
    </w:rPr>
  </w:style>
  <w:style w:type="paragraph" w:customStyle="1" w:styleId="O-SignSpaceAfter0">
    <w:name w:val="O-Sign Space After 0"/>
    <w:basedOn w:val="Normal"/>
    <w:uiPriority w:val="99"/>
    <w:rsid w:val="006C501D"/>
    <w:pPr>
      <w:keepNext/>
      <w:keepLines/>
      <w:spacing w:after="0" w:line="240" w:lineRule="auto"/>
      <w:ind w:left="5040"/>
    </w:pPr>
    <w:rPr>
      <w:rFonts w:ascii="Times New Roman" w:eastAsia="Times New Roman" w:hAnsi="Times New Roman" w:cs="Times New Roman"/>
      <w:sz w:val="24"/>
      <w:szCs w:val="20"/>
    </w:rPr>
  </w:style>
  <w:style w:type="character" w:customStyle="1" w:styleId="O-SignatureChar">
    <w:name w:val="O-Signature Char"/>
    <w:aliases w:val="S12 Char"/>
    <w:basedOn w:val="DefaultParagraphFont"/>
    <w:link w:val="O-Signature"/>
    <w:uiPriority w:val="99"/>
    <w:locked/>
    <w:rsid w:val="006C501D"/>
    <w:rPr>
      <w:rFonts w:ascii="Times New Roman" w:eastAsia="Times New Roman" w:hAnsi="Times New Roman" w:cs="Times New Roman"/>
      <w:sz w:val="24"/>
      <w:szCs w:val="20"/>
    </w:rPr>
  </w:style>
  <w:style w:type="character" w:customStyle="1" w:styleId="O-TITLECENTEREDBChar">
    <w:name w:val="O-TITLE CENTERED (B) Char"/>
    <w:aliases w:val="S10 Char"/>
    <w:basedOn w:val="DefaultParagraphFont"/>
    <w:link w:val="O-TITLECENTEREDB"/>
    <w:uiPriority w:val="99"/>
    <w:locked/>
    <w:rsid w:val="006C501D"/>
    <w:rPr>
      <w:rFonts w:ascii="Times New Roman" w:eastAsia="Times New Roman" w:hAnsi="Times New Roman Bold" w:cs="Times New Roman"/>
      <w:b/>
      <w:caps/>
      <w:sz w:val="24"/>
      <w:szCs w:val="20"/>
    </w:rPr>
  </w:style>
  <w:style w:type="character" w:customStyle="1" w:styleId="TabbedL1Char">
    <w:name w:val="Tabbed_L1 Char"/>
    <w:basedOn w:val="DefaultParagraphFont"/>
    <w:link w:val="TabbedL1"/>
    <w:locked/>
    <w:rsid w:val="006C501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C501D"/>
    <w:pPr>
      <w:spacing w:after="120"/>
    </w:pPr>
  </w:style>
  <w:style w:type="character" w:customStyle="1" w:styleId="BodyTextChar">
    <w:name w:val="Body Text Char"/>
    <w:basedOn w:val="DefaultParagraphFont"/>
    <w:link w:val="BodyText"/>
    <w:uiPriority w:val="99"/>
    <w:semiHidden/>
    <w:rsid w:val="006C501D"/>
  </w:style>
  <w:style w:type="character" w:styleId="CommentReference">
    <w:name w:val="annotation reference"/>
    <w:basedOn w:val="DefaultParagraphFont"/>
    <w:uiPriority w:val="99"/>
    <w:semiHidden/>
    <w:unhideWhenUsed/>
    <w:rsid w:val="007D7A3C"/>
    <w:rPr>
      <w:sz w:val="16"/>
      <w:szCs w:val="16"/>
    </w:rPr>
  </w:style>
  <w:style w:type="paragraph" w:styleId="CommentText">
    <w:name w:val="annotation text"/>
    <w:basedOn w:val="Normal"/>
    <w:link w:val="CommentTextChar"/>
    <w:uiPriority w:val="99"/>
    <w:semiHidden/>
    <w:unhideWhenUsed/>
    <w:rsid w:val="007D7A3C"/>
    <w:pPr>
      <w:spacing w:line="240" w:lineRule="auto"/>
    </w:pPr>
    <w:rPr>
      <w:sz w:val="20"/>
      <w:szCs w:val="20"/>
    </w:rPr>
  </w:style>
  <w:style w:type="character" w:customStyle="1" w:styleId="CommentTextChar">
    <w:name w:val="Comment Text Char"/>
    <w:basedOn w:val="DefaultParagraphFont"/>
    <w:link w:val="CommentText"/>
    <w:uiPriority w:val="99"/>
    <w:semiHidden/>
    <w:rsid w:val="007D7A3C"/>
    <w:rPr>
      <w:sz w:val="20"/>
      <w:szCs w:val="20"/>
    </w:rPr>
  </w:style>
  <w:style w:type="paragraph" w:styleId="CommentSubject">
    <w:name w:val="annotation subject"/>
    <w:basedOn w:val="CommentText"/>
    <w:next w:val="CommentText"/>
    <w:link w:val="CommentSubjectChar"/>
    <w:uiPriority w:val="99"/>
    <w:semiHidden/>
    <w:unhideWhenUsed/>
    <w:rsid w:val="007D7A3C"/>
    <w:rPr>
      <w:b/>
      <w:bCs/>
    </w:rPr>
  </w:style>
  <w:style w:type="character" w:customStyle="1" w:styleId="CommentSubjectChar">
    <w:name w:val="Comment Subject Char"/>
    <w:basedOn w:val="CommentTextChar"/>
    <w:link w:val="CommentSubject"/>
    <w:uiPriority w:val="99"/>
    <w:semiHidden/>
    <w:rsid w:val="007D7A3C"/>
    <w:rPr>
      <w:b/>
      <w:bCs/>
      <w:sz w:val="20"/>
      <w:szCs w:val="20"/>
    </w:rPr>
  </w:style>
  <w:style w:type="paragraph" w:styleId="BalloonText">
    <w:name w:val="Balloon Text"/>
    <w:basedOn w:val="Normal"/>
    <w:link w:val="BalloonTextChar"/>
    <w:uiPriority w:val="99"/>
    <w:semiHidden/>
    <w:unhideWhenUsed/>
    <w:rsid w:val="007D7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3C"/>
    <w:rPr>
      <w:rFonts w:ascii="Segoe UI" w:hAnsi="Segoe UI" w:cs="Segoe UI"/>
      <w:sz w:val="18"/>
      <w:szCs w:val="18"/>
    </w:rPr>
  </w:style>
  <w:style w:type="paragraph" w:styleId="Footer">
    <w:name w:val="footer"/>
    <w:basedOn w:val="Normal"/>
    <w:link w:val="FooterChar"/>
    <w:uiPriority w:val="99"/>
    <w:unhideWhenUsed/>
    <w:rsid w:val="0003529A"/>
    <w:pPr>
      <w:tabs>
        <w:tab w:val="center" w:pos="4677"/>
        <w:tab w:val="right" w:pos="9355"/>
      </w:tabs>
      <w:spacing w:after="0" w:line="240" w:lineRule="auto"/>
    </w:pPr>
  </w:style>
  <w:style w:type="character" w:customStyle="1" w:styleId="FooterChar">
    <w:name w:val="Footer Char"/>
    <w:basedOn w:val="DefaultParagraphFont"/>
    <w:link w:val="Footer"/>
    <w:uiPriority w:val="99"/>
    <w:rsid w:val="0003529A"/>
  </w:style>
  <w:style w:type="character" w:styleId="PageNumber">
    <w:name w:val="page number"/>
    <w:basedOn w:val="DefaultParagraphFont"/>
    <w:uiPriority w:val="99"/>
    <w:semiHidden/>
    <w:unhideWhenUsed/>
    <w:rsid w:val="0003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B88A-6DE9-9941-A870-69138B66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1607</Words>
  <Characters>9162</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GWT</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Grayver</dc:creator>
  <cp:lastModifiedBy>Leonard Grayver</cp:lastModifiedBy>
  <cp:revision>6</cp:revision>
  <cp:lastPrinted>2016-01-27T20:05:00Z</cp:lastPrinted>
  <dcterms:created xsi:type="dcterms:W3CDTF">2020-06-26T21:17:00Z</dcterms:created>
  <dcterms:modified xsi:type="dcterms:W3CDTF">2020-07-23T01:08:00Z</dcterms:modified>
</cp:coreProperties>
</file>